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cs="Times New Roman"/>
          <w:b/>
          <w:i w:val="0"/>
          <w:sz w:val="40"/>
        </w:rPr>
        <w:t>Project Management and the Importance of Teamwork in the Development of a Modular Battery Management and Communication Platform</w:t>
      </w:r>
    </w:p>
    <w:p>
      <w:pPr>
        <w:spacing w:after="0" w:before="0" w:line="240" w:lineRule="auto"/>
        <w:jc w:val="center"/>
      </w:pPr>
      <w:r>
        <w:rPr>
          <w:rFonts w:ascii="Times New Roman" w:hAnsi="Times New Roman" w:cs="Times New Roman"/>
          <w:b/>
          <w:i w:val="0"/>
          <w:sz w:val="22"/>
        </w:rPr>
        <w:t>Kaushik Vada</w:t>
      </w:r>
    </w:p>
    <w:p>
      <w:pPr>
        <w:spacing w:after="0" w:before="0" w:line="240" w:lineRule="auto"/>
        <w:jc w:val="center"/>
      </w:pPr>
      <w:r>
        <w:rPr>
          <w:rFonts w:ascii="Times New Roman" w:hAnsi="Times New Roman" w:cs="Times New Roman"/>
          <w:b w:val="0"/>
          <w:i w:val="0"/>
          <w:sz w:val="20"/>
        </w:rPr>
        <w:t>Department of Electrical and Computer Engineering</w:t>
      </w:r>
    </w:p>
    <w:p>
      <w:pPr>
        <w:spacing w:after="0" w:before="0" w:line="240" w:lineRule="auto"/>
        <w:jc w:val="center"/>
      </w:pPr>
      <w:r>
        <w:rPr>
          <w:rFonts w:ascii="Times New Roman" w:hAnsi="Times New Roman" w:cs="Times New Roman"/>
          <w:b w:val="0"/>
          <w:i w:val="0"/>
          <w:sz w:val="20"/>
        </w:rPr>
        <w:t>University of California, Riverside</w:t>
      </w:r>
    </w:p>
    <w:p>
      <w:pPr>
        <w:spacing w:after="0" w:before="0" w:line="240" w:lineRule="auto"/>
        <w:jc w:val="center"/>
      </w:pPr>
      <w:r>
        <w:rPr>
          <w:rFonts w:ascii="Times New Roman" w:hAnsi="Times New Roman" w:cs="Times New Roman"/>
          <w:b w:val="0"/>
          <w:i w:val="0"/>
          <w:sz w:val="20"/>
        </w:rPr>
        <w:t>Riverside, California 92521, USA</w:t>
      </w:r>
    </w:p>
    <w:p>
      <w:pPr>
        <w:spacing w:after="0" w:before="0" w:line="240" w:lineRule="auto"/>
        <w:jc w:val="center"/>
      </w:pPr>
      <w:r>
        <w:rPr>
          <w:rFonts w:ascii="Times New Roman" w:hAnsi="Times New Roman" w:cs="Times New Roman"/>
          <w:b w:val="0"/>
          <w:i w:val="0"/>
          <w:sz w:val="20"/>
        </w:rPr>
        <w:t>vvada002@gmail.com</w:t>
      </w:r>
    </w:p>
    <w:p>
      <w:pPr>
        <w:spacing w:after="120" w:before="0" w:line="240" w:lineRule="auto"/>
        <w:jc w:val="center"/>
      </w:pPr>
    </w:p>
    <w:p>
      <w:pPr>
        <w:sectPr>
          <w:pgSz w:w="12240" w:h="15840"/>
          <w:pgMar w:top="1080" w:right="1080" w:bottom="1080" w:left="1080" w:header="720" w:footer="720" w:gutter="0"/>
          <w:cols w:space="720" w:num="1" w:equalWidth="1"/>
          <w:docGrid w:linePitch="360"/>
        </w:sectPr>
      </w:pPr>
    </w:p>
    <w:p>
      <w:pPr>
        <w:spacing w:after="80" w:before="0" w:line="240" w:lineRule="auto"/>
        <w:jc w:val="both"/>
      </w:pPr>
      <w:r>
        <w:rPr>
          <w:rFonts w:ascii="Times New Roman" w:hAnsi="Times New Roman" w:cs="Times New Roman"/>
          <w:b/>
          <w:i/>
          <w:sz w:val="20"/>
        </w:rPr>
        <w:t>Abstract—</w:t>
      </w:r>
      <w:r>
        <w:rPr>
          <w:rFonts w:ascii="Times New Roman" w:hAnsi="Times New Roman" w:cs="Times New Roman"/>
          <w:b/>
          <w:i w:val="0"/>
          <w:sz w:val="20"/>
        </w:rPr>
        <w:t xml:space="preserve"> This essay examines how the Battery Management and Control System (BMCS) senior design project was managed and what the experience revealed about the importance of teamwork in engineering practice. The project, a Modular Battery Management and Communication Platform for a 10-series Molicel P42A lithium-ion pack, was carried out by a four-person team across the EE 175AB sequence at the University of California, Riverside. Work was decomposed by subsystem into a battery unit, a set of custom testbenches, and an operator station, with hardware and software architecture assigned to dedicated leads. The team coordinated through a Discord channel, a shared Google Drive for PCB files, and a GitHub repository for firmware and software, and recorded design decisions through weekly progress reports and end-of-day session summaries rather than a formal tracking platform. The schedule was milestone-driven and anchored to a hard demonstration deadline. The analysis argues that the project’s most difficult failures, including a depletion-mode MOSFET mismatch, a week-long debug-probe stall, and a microcontroller short on the morning of the presentation, were resolved through collaboration rather than individual effort, and that an all-ECE team still depended on knowledge drawn from mechanical, thermal, and power domains outside its own discipline.</w:t>
      </w:r>
    </w:p>
    <w:p>
      <w:pPr>
        <w:spacing w:after="120" w:before="0" w:line="240" w:lineRule="auto"/>
        <w:jc w:val="both"/>
      </w:pPr>
      <w:r>
        <w:rPr>
          <w:rFonts w:ascii="Times New Roman" w:hAnsi="Times New Roman" w:cs="Times New Roman"/>
          <w:b/>
          <w:i/>
          <w:sz w:val="20"/>
        </w:rPr>
        <w:t>Index Terms—</w:t>
      </w:r>
      <w:r>
        <w:rPr>
          <w:rFonts w:ascii="Times New Roman" w:hAnsi="Times New Roman" w:cs="Times New Roman"/>
          <w:b/>
          <w:i w:val="0"/>
          <w:sz w:val="20"/>
        </w:rPr>
        <w:t>Task allocation, version control, senior design, multidisciplinary collaboration.</w:t>
      </w:r>
    </w:p>
    <w:p>
      <w:pPr>
        <w:spacing w:after="40" w:before="160" w:line="240" w:lineRule="auto"/>
        <w:jc w:val="center"/>
      </w:pPr>
      <w:r>
        <w:rPr>
          <w:rFonts w:ascii="Times New Roman" w:hAnsi="Times New Roman" w:cs="Times New Roman"/>
          <w:b w:val="0"/>
          <w:i w:val="0"/>
          <w:sz w:val="20"/>
        </w:rPr>
        <w:t>I. INTRODUCTION</w:t>
      </w:r>
    </w:p>
    <w:p>
      <w:pPr>
        <w:spacing w:after="0" w:before="0" w:line="240" w:lineRule="auto"/>
        <w:ind w:firstLine="288"/>
        <w:jc w:val="both"/>
      </w:pPr>
      <w:r>
        <w:rPr>
          <w:rFonts w:ascii="Times New Roman" w:hAnsi="Times New Roman" w:cs="Times New Roman"/>
          <w:b w:val="0"/>
          <w:i w:val="0"/>
          <w:sz w:val="20"/>
        </w:rPr>
        <w:t>The Battery Management and Control System (BMCS) project, developed during the EE 175AB senior design sequence at the University of California, Riverside, produced a Modular Battery Management and Communication Platform that monitors and protects a 10-series Molicel P42A lithium-ion pack [1]. The technical architecture, built around a Texas Instruments BQ76930 analog front end, an STM32F303 microcontroller, a custom electronic load, and a PyQt6 telemetry dashboard, is documented elsewhere. This essay turns instead to how the work was organized and carried out by a four-member team over two academic quarters. A senior design project of this scope is not only an engineering problem; it is a coordination problem. Four engineers had to divide a system that spanned high-voltage hardware, embedded firmware, and desktop software, agree on interfaces between those pieces, and converge on a working demonstration under a fixed deadline. The management decisions that made that possible were less visible than the circuit decisions, but no less important.</w:t>
      </w:r>
    </w:p>
    <w:p>
      <w:pPr>
        <w:spacing w:after="40" w:before="160" w:line="240" w:lineRule="auto"/>
        <w:jc w:val="center"/>
      </w:pPr>
      <w:r>
        <w:rPr>
          <w:rFonts w:ascii="Times New Roman" w:hAnsi="Times New Roman" w:cs="Times New Roman"/>
          <w:b w:val="0"/>
          <w:i w:val="0"/>
          <w:sz w:val="20"/>
        </w:rPr>
        <w:t>II. PROJECT ORGANIZATION AND TASK DISTRIBUTION</w:t>
      </w:r>
    </w:p>
    <w:p>
      <w:pPr>
        <w:spacing w:after="0" w:before="0" w:line="240" w:lineRule="auto"/>
        <w:ind w:firstLine="288"/>
        <w:jc w:val="both"/>
      </w:pPr>
      <w:r>
        <w:rPr>
          <w:rFonts w:ascii="Times New Roman" w:hAnsi="Times New Roman" w:cs="Times New Roman"/>
          <w:b w:val="0"/>
          <w:i w:val="0"/>
          <w:sz w:val="20"/>
        </w:rPr>
        <w:t>The team comprised four electrical and computer engineering students: Connor Stewart, Nicholas Poon, Christian Kim, and the author. Rather than assigning work by abstract role, the team decomposed the platform into three physical subsystems and distributed ownership accordingly. The battery unit, which houses the 10s1p Molicel pack, thermistors, cooling fans, and the main BMS PCB, was owned primarily by Connor Stewart and Nicholas Poon. The testbenches, consisting of a custom electronic load PCB and a resistive cell emulator, were handled by Christian Kim, Connor Stewart, and Nicholas Poon. The operator station, the PyQt6 dashboard that displays telemetry and controls the load, was led by the author with contributions from the rest of the team [1].</w:t>
      </w:r>
    </w:p>
    <w:p>
      <w:pPr>
        <w:spacing w:after="0" w:before="0" w:line="240" w:lineRule="auto"/>
        <w:ind w:firstLine="288"/>
        <w:jc w:val="both"/>
      </w:pPr>
      <w:r>
        <w:rPr>
          <w:rFonts w:ascii="Times New Roman" w:hAnsi="Times New Roman" w:cs="Times New Roman"/>
          <w:b w:val="0"/>
          <w:i w:val="0"/>
          <w:sz w:val="20"/>
        </w:rPr>
        <w:t>On top of this subsystem map, the team designated two architecture leads to keep the design coherent. The author owned the software architecture decisions, namely the three-layer split between STM32 firmware, a PySerial-based backend, and the Qt WebEngine frontend, while Connor Stewart owned the hardware architecture decisions. Centralizing each domain under one person prevented the kind of drift that occurs when four engineers make incompatible low-level choices, while the subsystem assignments kept every member responsible for a tangible deliverable rather than a vague slice of the whole. The boundaries were deliberately permeable: ownership defined who was accountable for a subsystem, not who was permitted to modify it.</w:t>
      </w:r>
    </w:p>
    <w:p>
      <w:pPr>
        <w:spacing w:after="40" w:before="160" w:line="240" w:lineRule="auto"/>
        <w:jc w:val="center"/>
      </w:pPr>
      <w:r>
        <w:rPr>
          <w:rFonts w:ascii="Times New Roman" w:hAnsi="Times New Roman" w:cs="Times New Roman"/>
          <w:b w:val="0"/>
          <w:i w:val="0"/>
          <w:sz w:val="20"/>
        </w:rPr>
        <w:t>III. SCHEDULE, TOOLS, AND PROCESS</w:t>
      </w:r>
    </w:p>
    <w:p>
      <w:pPr>
        <w:spacing w:after="0" w:before="0" w:line="240" w:lineRule="auto"/>
        <w:ind w:firstLine="288"/>
        <w:jc w:val="both"/>
      </w:pPr>
      <w:r>
        <w:rPr>
          <w:rFonts w:ascii="Times New Roman" w:hAnsi="Times New Roman" w:cs="Times New Roman"/>
          <w:b w:val="0"/>
          <w:i w:val="0"/>
          <w:sz w:val="20"/>
        </w:rPr>
        <w:t xml:space="preserve">The project did not use a heavyweight project-management platform or a formally codified methodology of the kind described in the </w:t>
      </w:r>
      <w:r>
        <w:rPr>
          <w:rFonts w:ascii="Times New Roman" w:hAnsi="Times New Roman" w:cs="Times New Roman"/>
          <w:b w:val="0"/>
          <w:i/>
          <w:sz w:val="20"/>
        </w:rPr>
        <w:t>PMBOK Guide</w:t>
      </w:r>
      <w:r>
        <w:rPr>
          <w:rFonts w:ascii="Times New Roman" w:hAnsi="Times New Roman" w:cs="Times New Roman"/>
          <w:b w:val="0"/>
          <w:i w:val="0"/>
          <w:sz w:val="20"/>
        </w:rPr>
        <w:t xml:space="preserve"> [2]. Coordination ran through a Discord group chat that served as the primary channel for daily communication and status reporting; any change to a finished design or any manufacturing issue was reported there as it happened. PCB files were versioned in a shared Google Drive, and all firmware and software resided in a central GitHub repository in which commit messages doubled as an informal change log [1]. Schematic and layout work was done in Altium Designer. The single most important recurring artifact was the weekly progress report: these reports were the team’s main method of recording design notes, justifications, and open problems, and they imposed a cadence that kept the project moving between the larger milestones.</w:t>
      </w:r>
    </w:p>
    <w:p>
      <w:pPr>
        <w:spacing w:after="0" w:before="0" w:line="240" w:lineRule="auto"/>
        <w:ind w:firstLine="288"/>
        <w:jc w:val="both"/>
      </w:pPr>
      <w:r>
        <w:rPr>
          <w:rFonts w:ascii="Times New Roman" w:hAnsi="Times New Roman" w:cs="Times New Roman"/>
          <w:b w:val="0"/>
          <w:i w:val="0"/>
          <w:sz w:val="20"/>
        </w:rPr>
        <w:t>The schedule itself was milestone-driven rather than tightly Gantt-charted. Major milestones, including working custom PCBs, a functional operator dashboard, and a validated bring-up sequence, were anchored to the structure of the two-quarter senior design sequence and, ultimately, to a hard final demonstration deadline. Bug tracking followed the same lightweight philosophy. Issues were captured in end-of-day group session summaries and in GitHub commit history, and each hardware problem was assigned to a specific team member to investigate, with the root-cause analysis and resolution written up in the report’s technical problem-solving section [1]. The team chose not to stand up a formal bug database; under the time constraints, the overhead would have cost more than it returned, and the weekly reports already preserved the institutional memory the project required.</w:t>
      </w:r>
    </w:p>
    <w:p>
      <w:pPr>
        <w:spacing w:after="40" w:before="160" w:line="240" w:lineRule="auto"/>
        <w:jc w:val="center"/>
      </w:pPr>
      <w:r>
        <w:rPr>
          <w:rFonts w:ascii="Times New Roman" w:hAnsi="Times New Roman" w:cs="Times New Roman"/>
          <w:b w:val="0"/>
          <w:i w:val="0"/>
          <w:sz w:val="20"/>
        </w:rPr>
        <w:t>IV. LESSONS IN TIME AND PROJECT MANAGEMENT</w:t>
      </w:r>
    </w:p>
    <w:p>
      <w:pPr>
        <w:spacing w:after="0" w:before="0" w:line="240" w:lineRule="auto"/>
        <w:ind w:firstLine="288"/>
        <w:jc w:val="both"/>
      </w:pPr>
      <w:r>
        <w:rPr>
          <w:rFonts w:ascii="Times New Roman" w:hAnsi="Times New Roman" w:cs="Times New Roman"/>
          <w:b w:val="0"/>
          <w:i w:val="0"/>
          <w:sz w:val="20"/>
        </w:rPr>
        <w:t>The clearest project-management lesson was that schedule risk concentrates in the integration phase, not the design phase. Individual subsystems came together roughly on time, but the points where two subsystems met were where days disappeared: firmware reading the BQ76930 over I2C, the dashboard parsing STM32 telemetry, and the electronic load sharing a ground with the BMS. A manufacturing defect in the breaker MOSFETs, which proved to be depletion-mode parts behaving opposite to the enhancement-mode behavior the datasheet promised, consumed weeks of debugging. A faulty debug-probe connection on the electronic load rendered the STM32 unusable for firmware development for over a week [1]. These were not failures of individual competence; they were the predictable cost of integrating independently built modules, and a more experienced team would have budgeted explicit schedule slack for them.</w:t>
      </w:r>
    </w:p>
    <w:p>
      <w:pPr>
        <w:spacing w:after="0" w:before="0" w:line="240" w:lineRule="auto"/>
        <w:ind w:firstLine="288"/>
        <w:jc w:val="both"/>
      </w:pPr>
      <w:r>
        <w:rPr>
          <w:rFonts w:ascii="Times New Roman" w:hAnsi="Times New Roman" w:cs="Times New Roman"/>
          <w:b w:val="0"/>
          <w:i w:val="0"/>
          <w:sz w:val="20"/>
        </w:rPr>
        <w:t>The second lesson concerned the discipline of deciding under deadline pressure. As the demonstration approached, the team had to make several deliberate concessions: substituting a relay for the original breaker MOSFETs, deprecating the fan tachometer readback for which no usable specification existed, and capping the redesigned electronic load at a safe 1 A rather than chasing the original target. Documenting each of these as a conscious tradeoff, with its rationale and its consequences, was itself an act of project management. The alternative, quietly cutting scope and hoping no one asked, would have been faster in the moment and far more damaging to the integrity of the final report.</w:t>
      </w:r>
    </w:p>
    <w:p>
      <w:pPr>
        <w:spacing w:after="40" w:before="160" w:line="240" w:lineRule="auto"/>
        <w:jc w:val="center"/>
      </w:pPr>
      <w:r>
        <w:rPr>
          <w:rFonts w:ascii="Times New Roman" w:hAnsi="Times New Roman" w:cs="Times New Roman"/>
          <w:b w:val="0"/>
          <w:i w:val="0"/>
          <w:sz w:val="20"/>
        </w:rPr>
        <w:t>V. IMPORTANCE OF TEAMWORK</w:t>
      </w:r>
    </w:p>
    <w:p>
      <w:pPr>
        <w:spacing w:after="0" w:before="0" w:line="240" w:lineRule="auto"/>
        <w:ind w:firstLine="288"/>
        <w:jc w:val="both"/>
      </w:pPr>
      <w:r>
        <w:rPr>
          <w:rFonts w:ascii="Times New Roman" w:hAnsi="Times New Roman" w:cs="Times New Roman"/>
          <w:b w:val="0"/>
          <w:i w:val="0"/>
          <w:sz w:val="20"/>
        </w:rPr>
        <w:t>The project repeatedly demonstrated that its hardest problems were solved collectively rather than individually. The breaker MOSFET fault is the canonical example: Nicholas Poon troubleshot the abnormal charge and discharge gate behavior independently for several weeks before Connor Stewart joined him, and only by working together did they trace the symptom to the depletion-mode mismatch and decide to desolder the parts [1]. The morning of the presentation produced an even sharper test of the team. The STM32 on the BMS board suffered a direct short and the primary battery monitor IC was damaged at the same time; Nicholas Poon and Connor Stewart diagnosed the failure by probing the onboard regulators and verifying abnormal drops at known test points, under the worst possible time pressure. No single member held the full picture of every subsystem, which is precisely why distributing both the work and the diagnostic effort mattered.</w:t>
      </w:r>
    </w:p>
    <w:p>
      <w:pPr>
        <w:spacing w:after="0" w:before="0" w:line="240" w:lineRule="auto"/>
        <w:ind w:firstLine="288"/>
        <w:jc w:val="both"/>
      </w:pPr>
      <w:r>
        <w:rPr>
          <w:rFonts w:ascii="Times New Roman" w:hAnsi="Times New Roman" w:cs="Times New Roman"/>
          <w:b w:val="0"/>
          <w:i w:val="0"/>
          <w:sz w:val="20"/>
        </w:rPr>
        <w:t>The team’s working rhythm also matured over the two quarters in a way that tracks the forming–storming–norming–performing sequence Tuckman describes for small groups [3]: early friction over interface definitions gave way, by the second quarter, to a settled division of labor and a shared debugging vocabulary. Teamwork on this project was not only about dividing labor; it was about pooling partial knowledge. Each member carried deep context on a single subsystem and partial context on the others, so resolving a cross-boundary bug usually required two or three engineers placing their views of the system side by side. The end-of-day summaries and the shared Discord history were the mechanism that made that pooling possible: they kept each member’s mental model close enough to the others’ that a second engineer could be brought into a stalled problem without a long ramp-up. A recurring lesson was that communication overhead is not a tax on real engineering work; it is part of the work.</w:t>
      </w:r>
    </w:p>
    <w:p>
      <w:pPr>
        <w:spacing w:after="40" w:before="160" w:line="240" w:lineRule="auto"/>
        <w:jc w:val="center"/>
      </w:pPr>
      <w:r>
        <w:rPr>
          <w:rFonts w:ascii="Times New Roman" w:hAnsi="Times New Roman" w:cs="Times New Roman"/>
          <w:b w:val="0"/>
          <w:i w:val="0"/>
          <w:sz w:val="20"/>
        </w:rPr>
        <w:t>VI. WORKING ACROSS DISCIPLINARY BOUNDARIES</w:t>
      </w:r>
    </w:p>
    <w:p>
      <w:pPr>
        <w:spacing w:after="0" w:before="0" w:line="240" w:lineRule="auto"/>
        <w:ind w:firstLine="288"/>
        <w:jc w:val="both"/>
      </w:pPr>
      <w:r>
        <w:rPr>
          <w:rFonts w:ascii="Times New Roman" w:hAnsi="Times New Roman" w:cs="Times New Roman"/>
          <w:b w:val="0"/>
          <w:i w:val="0"/>
          <w:sz w:val="20"/>
        </w:rPr>
        <w:t>All four team members came from electrical and computer engineering, so the multidisciplinary experience arose from reaching outside the team’s own training rather than from a mixed-discipline roster. The platform forced the team into domains that the ECE curriculum touches only lightly. The battery enclosure and the 10s1p cell holder were mechanical design problems, complete with thermal and airflow considerations, that the team worked through using 3D-printed iterations and, in one case, a fresh 3D-printed enclosure pressed into service as a heated test chamber for thermistor validation [1]. The electronic load’s AC front end took the team into power-conversion territory it openly acknowledged as unfamiliar, and a blown-capacitor incident during AC bring-up was a direct consequence of that inexperience.</w:t>
      </w:r>
    </w:p>
    <w:p>
      <w:pPr>
        <w:spacing w:after="0" w:before="0" w:line="240" w:lineRule="auto"/>
        <w:ind w:firstLine="288"/>
        <w:jc w:val="both"/>
      </w:pPr>
      <w:r>
        <w:rPr>
          <w:rFonts w:ascii="Times New Roman" w:hAnsi="Times New Roman" w:cs="Times New Roman"/>
          <w:b w:val="0"/>
          <w:i w:val="0"/>
          <w:sz w:val="20"/>
        </w:rPr>
        <w:t>To close those gaps, the team drew on input from outside its own membership. It leaned heavily on vendor application notes and manufacturer documentation from Texas Instruments and STMicroelectronics, treated open-source reference designs as a starting point for the electronic load before adapting them to stricter precision and safety requirements, and consulted the senior design faculty advisor on questions that fell outside the team’s collective expertise. The lesson was that a single-discipline team is not exempt from multidisciplinary work; the other disciplines simply arrive through documentation, mentorship, and deliberate self-education rather than through a teammate seated nearby.</w:t>
      </w:r>
    </w:p>
    <w:p>
      <w:pPr>
        <w:spacing w:after="40" w:before="160" w:line="240" w:lineRule="auto"/>
        <w:jc w:val="center"/>
      </w:pPr>
      <w:r>
        <w:rPr>
          <w:rFonts w:ascii="Times New Roman" w:hAnsi="Times New Roman" w:cs="Times New Roman"/>
          <w:b w:val="0"/>
          <w:i w:val="0"/>
          <w:sz w:val="20"/>
        </w:rPr>
        <w:t>VII. CONCLUSION</w:t>
      </w:r>
    </w:p>
    <w:p>
      <w:pPr>
        <w:spacing w:after="0" w:before="0" w:line="240" w:lineRule="auto"/>
        <w:ind w:firstLine="288"/>
        <w:jc w:val="both"/>
      </w:pPr>
      <w:r>
        <w:rPr>
          <w:rFonts w:ascii="Times New Roman" w:hAnsi="Times New Roman" w:cs="Times New Roman"/>
          <w:b w:val="0"/>
          <w:i w:val="0"/>
          <w:sz w:val="20"/>
        </w:rPr>
        <w:t>Managing the BMCS project well mattered as much as designing it well. A subsystem-based division of labor, two clear architecture leads, a lightweight toolchain of Discord, Google Drive, and GitHub, and a weekly-report cadence were enough to carry a four-person team through a system that spanned high-voltage hardware, embedded firmware, and desktop software. The experience demonstrated that schedule risk lives in integration, that tradeoffs made under deadline must be documented to mean anything, and that the failures most likely to sink a project are the ones that cross subsystem boundaries and therefore demand collaboration to solve. An all-ECE team still depended on mechanical, thermal, and power-domain knowledge it had to seek out deliberately. The technical result, a working and demonstrated battery management platform, was real, but it was the product of how the team organized itself at least as much as of any single design decision.</w:t>
      </w:r>
    </w:p>
    <w:p>
      <w:pPr>
        <w:spacing w:after="40" w:before="160" w:line="240" w:lineRule="auto"/>
        <w:jc w:val="center"/>
      </w:pPr>
      <w:r>
        <w:rPr>
          <w:rFonts w:ascii="Times New Roman" w:hAnsi="Times New Roman" w:cs="Times New Roman"/>
          <w:b w:val="0"/>
          <w:i w:val="0"/>
          <w:sz w:val="20"/>
        </w:rPr>
        <w:t>REFERENCES</w:t>
      </w:r>
    </w:p>
    <w:p>
      <w:pPr>
        <w:spacing w:after="40" w:before="0" w:line="240" w:lineRule="auto"/>
        <w:ind w:left="230" w:hanging="230"/>
        <w:jc w:val="both"/>
      </w:pPr>
      <w:r>
        <w:rPr>
          <w:rFonts w:ascii="Times New Roman" w:hAnsi="Times New Roman" w:cs="Times New Roman"/>
          <w:b w:val="0"/>
          <w:i w:val="0"/>
          <w:sz w:val="18"/>
        </w:rPr>
        <w:t>[1] K. Vada, C. Stewart, N. Poon, and C. Kim, “EE 175AB Final Report: Modular Battery Management and Communication Platform,” Dept. of Electrical and Computer Engineering, Univ. of California, Riverside, Riverside, CA, USA, 2026.</w:t>
      </w:r>
    </w:p>
    <w:p>
      <w:pPr>
        <w:spacing w:after="40" w:before="0" w:line="240" w:lineRule="auto"/>
        <w:ind w:left="230" w:hanging="230"/>
        <w:jc w:val="both"/>
      </w:pPr>
      <w:r>
        <w:rPr>
          <w:rFonts w:ascii="Times New Roman" w:hAnsi="Times New Roman" w:cs="Times New Roman"/>
          <w:b w:val="0"/>
          <w:i w:val="0"/>
          <w:sz w:val="18"/>
        </w:rPr>
        <w:t xml:space="preserve">[2] Project Management Institute, </w:t>
      </w:r>
      <w:r>
        <w:rPr>
          <w:rFonts w:ascii="Times New Roman" w:hAnsi="Times New Roman" w:cs="Times New Roman"/>
          <w:b w:val="0"/>
          <w:i/>
          <w:sz w:val="18"/>
        </w:rPr>
        <w:t>A Guide to the Project Management Body of Knowledge (PMBOK Guide)</w:t>
      </w:r>
      <w:r>
        <w:rPr>
          <w:rFonts w:ascii="Times New Roman" w:hAnsi="Times New Roman" w:cs="Times New Roman"/>
          <w:b w:val="0"/>
          <w:i w:val="0"/>
          <w:sz w:val="18"/>
        </w:rPr>
        <w:t>, 7th ed. Newtown Square, PA, USA: PMI, 2021.</w:t>
      </w:r>
    </w:p>
    <w:p>
      <w:pPr>
        <w:spacing w:after="40" w:before="0" w:line="240" w:lineRule="auto"/>
        <w:ind w:left="230" w:hanging="230"/>
        <w:jc w:val="both"/>
      </w:pPr>
      <w:r>
        <w:rPr>
          <w:rFonts w:ascii="Times New Roman" w:hAnsi="Times New Roman" w:cs="Times New Roman"/>
          <w:b w:val="0"/>
          <w:i w:val="0"/>
          <w:sz w:val="18"/>
        </w:rPr>
        <w:t xml:space="preserve">[3] B. W. Tuckman, “Developmental sequence in small groups,” </w:t>
      </w:r>
      <w:r>
        <w:rPr>
          <w:rFonts w:ascii="Times New Roman" w:hAnsi="Times New Roman" w:cs="Times New Roman"/>
          <w:b w:val="0"/>
          <w:i/>
          <w:sz w:val="18"/>
        </w:rPr>
        <w:t>Psychological Bulletin</w:t>
      </w:r>
      <w:r>
        <w:rPr>
          <w:rFonts w:ascii="Times New Roman" w:hAnsi="Times New Roman" w:cs="Times New Roman"/>
          <w:b w:val="0"/>
          <w:i w:val="0"/>
          <w:sz w:val="18"/>
        </w:rPr>
        <w:t>, vol. 63, no. 6, pp. 384–399, 1965.</w:t>
      </w:r>
    </w:p>
    <w:sectPr w:rsidR="00FC693F" w:rsidRPr="0006063C" w:rsidSect="00034616">
      <w:type w:val="continuous"/>
      <w:pgSz w:w="12240" w:h="15840"/>
      <w:pgMar w:top="1080" w:right="1080" w:bottom="1080" w:left="1080" w:header="720" w:footer="720" w:gutter="0"/>
      <w:cols w:space="43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