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426F6" w14:textId="77777777" w:rsidR="00297FCF" w:rsidRDefault="00297FCF" w:rsidP="00297FCF">
      <w:pPr>
        <w:jc w:val="center"/>
      </w:pPr>
    </w:p>
    <w:p w14:paraId="5E657CED" w14:textId="438437C5" w:rsidR="00297FCF" w:rsidRPr="00297FCF" w:rsidRDefault="00297FCF" w:rsidP="00297FCF">
      <w:pPr>
        <w:jc w:val="center"/>
        <w:rPr>
          <w:b/>
          <w:bCs/>
          <w:sz w:val="44"/>
          <w:szCs w:val="44"/>
        </w:rPr>
      </w:pPr>
      <w:r w:rsidRPr="00297FCF">
        <w:rPr>
          <w:b/>
          <w:bCs/>
          <w:sz w:val="44"/>
          <w:szCs w:val="44"/>
        </w:rPr>
        <w:t>Data 4 Health</w:t>
      </w:r>
    </w:p>
    <w:p w14:paraId="2137415D" w14:textId="77777777" w:rsidR="00297FCF" w:rsidRPr="00297FCF" w:rsidRDefault="00297FCF" w:rsidP="00297FCF">
      <w:pPr>
        <w:jc w:val="center"/>
        <w:rPr>
          <w:sz w:val="32"/>
          <w:szCs w:val="32"/>
        </w:rPr>
      </w:pPr>
      <w:r w:rsidRPr="00297FCF">
        <w:rPr>
          <w:sz w:val="44"/>
          <w:szCs w:val="44"/>
          <w:lang w:val="en-GB"/>
        </w:rPr>
        <w:t>Using data to understand &amp; improve the health status of municipalities</w:t>
      </w:r>
    </w:p>
    <w:p w14:paraId="36B46377" w14:textId="77777777" w:rsidR="00297FCF" w:rsidRPr="00297FCF" w:rsidRDefault="00297FCF" w:rsidP="00297FCF">
      <w:pPr>
        <w:jc w:val="center"/>
        <w:rPr>
          <w:sz w:val="32"/>
          <w:szCs w:val="32"/>
        </w:rPr>
      </w:pPr>
    </w:p>
    <w:p w14:paraId="00DC52BB" w14:textId="2C8EEDAC" w:rsidR="00297FCF" w:rsidRDefault="00297FCF" w:rsidP="00297FCF">
      <w:pPr>
        <w:jc w:val="center"/>
        <w:rPr>
          <w:sz w:val="32"/>
          <w:szCs w:val="32"/>
        </w:rPr>
      </w:pPr>
    </w:p>
    <w:p w14:paraId="02409C8E" w14:textId="232A7B5B" w:rsidR="00297FCF" w:rsidRDefault="00297FCF" w:rsidP="00297FCF">
      <w:pPr>
        <w:jc w:val="center"/>
        <w:rPr>
          <w:sz w:val="32"/>
          <w:szCs w:val="32"/>
        </w:rPr>
      </w:pPr>
    </w:p>
    <w:p w14:paraId="2FCB0F0D" w14:textId="3D898A51" w:rsidR="00297FCF" w:rsidRDefault="00297FCF" w:rsidP="00297FCF">
      <w:pPr>
        <w:jc w:val="center"/>
        <w:rPr>
          <w:sz w:val="32"/>
          <w:szCs w:val="32"/>
        </w:rPr>
      </w:pPr>
    </w:p>
    <w:p w14:paraId="608C111A" w14:textId="77777777" w:rsidR="00E533B7" w:rsidRPr="00297FCF" w:rsidRDefault="00E533B7" w:rsidP="00297FCF">
      <w:pPr>
        <w:jc w:val="center"/>
        <w:rPr>
          <w:sz w:val="32"/>
          <w:szCs w:val="32"/>
        </w:rPr>
      </w:pPr>
    </w:p>
    <w:p w14:paraId="094D9B5F" w14:textId="77777777" w:rsidR="00297FCF" w:rsidRDefault="00297FCF" w:rsidP="00297FCF">
      <w:pPr>
        <w:jc w:val="center"/>
        <w:rPr>
          <w:sz w:val="32"/>
          <w:szCs w:val="32"/>
        </w:rPr>
      </w:pPr>
    </w:p>
    <w:p w14:paraId="1F5E9372" w14:textId="77AA7679" w:rsidR="00297FCF" w:rsidRPr="00297FCF" w:rsidRDefault="00297FCF" w:rsidP="00297FCF">
      <w:pPr>
        <w:jc w:val="center"/>
        <w:rPr>
          <w:sz w:val="32"/>
          <w:szCs w:val="32"/>
        </w:rPr>
      </w:pPr>
      <w:r w:rsidRPr="00297FCF">
        <w:rPr>
          <w:sz w:val="32"/>
          <w:szCs w:val="32"/>
        </w:rPr>
        <w:t xml:space="preserve">Problem Statement </w:t>
      </w:r>
      <w:r w:rsidR="002839DC">
        <w:rPr>
          <w:sz w:val="32"/>
          <w:szCs w:val="32"/>
        </w:rPr>
        <w:t xml:space="preserve">and challenge </w:t>
      </w:r>
      <w:r w:rsidRPr="00297FCF">
        <w:rPr>
          <w:sz w:val="32"/>
          <w:szCs w:val="32"/>
        </w:rPr>
        <w:t>for Everest Hack 2019</w:t>
      </w:r>
    </w:p>
    <w:p w14:paraId="7E8FA3ED" w14:textId="12BB4356" w:rsidR="00297FCF" w:rsidRDefault="00297FCF" w:rsidP="00297FCF">
      <w:pPr>
        <w:jc w:val="center"/>
        <w:rPr>
          <w:rFonts w:asciiTheme="majorHAnsi" w:eastAsiaTheme="majorEastAsia" w:hAnsiTheme="majorHAnsi" w:cstheme="majorBidi"/>
          <w:color w:val="2F5496" w:themeColor="accent1" w:themeShade="BF"/>
          <w:sz w:val="26"/>
          <w:szCs w:val="26"/>
        </w:rPr>
      </w:pPr>
      <w:r w:rsidRPr="00297FCF">
        <w:rPr>
          <w:noProof/>
          <w:lang w:bidi="ne-NP"/>
        </w:rPr>
        <w:drawing>
          <wp:anchor distT="0" distB="0" distL="114300" distR="114300" simplePos="0" relativeHeight="251659264" behindDoc="0" locked="0" layoutInCell="1" allowOverlap="1" wp14:anchorId="093CC8FF" wp14:editId="7D6F2943">
            <wp:simplePos x="0" y="0"/>
            <wp:positionH relativeFrom="margin">
              <wp:align>left</wp:align>
            </wp:positionH>
            <wp:positionV relativeFrom="paragraph">
              <wp:posOffset>4216400</wp:posOffset>
            </wp:positionV>
            <wp:extent cx="2833061" cy="1280544"/>
            <wp:effectExtent l="0" t="0" r="5715" b="0"/>
            <wp:wrapNone/>
            <wp:docPr id="20" name="Picture 19">
              <a:extLst xmlns:a="http://schemas.openxmlformats.org/drawingml/2006/main">
                <a:ext uri="{FF2B5EF4-FFF2-40B4-BE49-F238E27FC236}">
                  <a16:creationId xmlns:a16="http://schemas.microsoft.com/office/drawing/2014/main" id="{30F5902D-BAFB-450A-B7B8-B6AAEF4EA6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0F5902D-BAFB-450A-B7B8-B6AAEF4EA60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33061" cy="1280544"/>
                    </a:xfrm>
                    <a:prstGeom prst="rect">
                      <a:avLst/>
                    </a:prstGeom>
                  </pic:spPr>
                </pic:pic>
              </a:graphicData>
            </a:graphic>
          </wp:anchor>
        </w:drawing>
      </w:r>
      <w:r>
        <w:br w:type="page"/>
      </w:r>
    </w:p>
    <w:p w14:paraId="5A2C6E1C" w14:textId="48A860A0" w:rsidR="00784128" w:rsidRPr="00081BBE" w:rsidRDefault="00804390" w:rsidP="00F93A3A">
      <w:pPr>
        <w:pStyle w:val="Heading2"/>
      </w:pPr>
      <w:r w:rsidRPr="00081BBE">
        <w:lastRenderedPageBreak/>
        <w:t xml:space="preserve">Sustainable Development </w:t>
      </w:r>
      <w:r w:rsidR="00D1585B" w:rsidRPr="00081BBE">
        <w:t>G</w:t>
      </w:r>
      <w:r w:rsidRPr="00081BBE">
        <w:t>oals</w:t>
      </w:r>
      <w:r w:rsidR="0021514B" w:rsidRPr="00081BBE">
        <w:t xml:space="preserve"> (SDG)</w:t>
      </w:r>
    </w:p>
    <w:p w14:paraId="75891C28" w14:textId="77777777" w:rsidR="0021514B" w:rsidRDefault="0021514B" w:rsidP="0021514B">
      <w:pPr>
        <w:rPr>
          <w:rFonts w:cstheme="minorHAnsi"/>
          <w:sz w:val="24"/>
          <w:szCs w:val="24"/>
          <w:shd w:val="clear" w:color="auto" w:fill="FFFFFF"/>
        </w:rPr>
      </w:pPr>
      <w:r w:rsidRPr="007E3704">
        <w:rPr>
          <w:rFonts w:cstheme="minorHAnsi"/>
          <w:b/>
          <w:bCs/>
          <w:sz w:val="24"/>
          <w:szCs w:val="24"/>
          <w:shd w:val="clear" w:color="auto" w:fill="FFFFFF"/>
        </w:rPr>
        <w:t>“We envision Nepal as an enterprise-friendly middle-income country by 2030, peopled by a vibrant and youthful middle-class living in a healthy environment, with absolute poverty in the low single digits.”</w:t>
      </w:r>
      <w:r w:rsidRPr="007E3704">
        <w:rPr>
          <w:rFonts w:cstheme="minorHAnsi"/>
          <w:sz w:val="24"/>
          <w:szCs w:val="24"/>
          <w:shd w:val="clear" w:color="auto" w:fill="FFFFFF"/>
        </w:rPr>
        <w:t xml:space="preserve"> – Nepal SDG</w:t>
      </w:r>
      <w:r>
        <w:rPr>
          <w:rFonts w:cstheme="minorHAnsi"/>
          <w:sz w:val="24"/>
          <w:szCs w:val="24"/>
          <w:shd w:val="clear" w:color="auto" w:fill="FFFFFF"/>
        </w:rPr>
        <w:t>s</w:t>
      </w:r>
      <w:r w:rsidRPr="007E3704">
        <w:rPr>
          <w:rFonts w:cstheme="minorHAnsi"/>
          <w:sz w:val="24"/>
          <w:szCs w:val="24"/>
          <w:shd w:val="clear" w:color="auto" w:fill="FFFFFF"/>
        </w:rPr>
        <w:t>, Status and Roadmap (2016-2030), N</w:t>
      </w:r>
      <w:r>
        <w:rPr>
          <w:rFonts w:cstheme="minorHAnsi"/>
          <w:sz w:val="24"/>
          <w:szCs w:val="24"/>
          <w:shd w:val="clear" w:color="auto" w:fill="FFFFFF"/>
        </w:rPr>
        <w:t xml:space="preserve">ational </w:t>
      </w:r>
      <w:r w:rsidRPr="007E3704">
        <w:rPr>
          <w:rFonts w:cstheme="minorHAnsi"/>
          <w:sz w:val="24"/>
          <w:szCs w:val="24"/>
          <w:shd w:val="clear" w:color="auto" w:fill="FFFFFF"/>
        </w:rPr>
        <w:t>P</w:t>
      </w:r>
      <w:r>
        <w:rPr>
          <w:rFonts w:cstheme="minorHAnsi"/>
          <w:sz w:val="24"/>
          <w:szCs w:val="24"/>
          <w:shd w:val="clear" w:color="auto" w:fill="FFFFFF"/>
        </w:rPr>
        <w:t xml:space="preserve">lanning </w:t>
      </w:r>
      <w:r w:rsidRPr="007E3704">
        <w:rPr>
          <w:rFonts w:cstheme="minorHAnsi"/>
          <w:sz w:val="24"/>
          <w:szCs w:val="24"/>
          <w:shd w:val="clear" w:color="auto" w:fill="FFFFFF"/>
        </w:rPr>
        <w:t>C</w:t>
      </w:r>
      <w:r>
        <w:rPr>
          <w:rFonts w:cstheme="minorHAnsi"/>
          <w:sz w:val="24"/>
          <w:szCs w:val="24"/>
          <w:shd w:val="clear" w:color="auto" w:fill="FFFFFF"/>
        </w:rPr>
        <w:t>ommission</w:t>
      </w:r>
    </w:p>
    <w:p w14:paraId="280A31A1" w14:textId="77777777" w:rsidR="0021514B" w:rsidRPr="0021514B" w:rsidRDefault="0021514B" w:rsidP="0021514B">
      <w:pPr>
        <w:spacing w:after="0"/>
        <w:rPr>
          <w:rFonts w:cstheme="minorHAnsi"/>
          <w:b/>
          <w:bCs/>
          <w:sz w:val="24"/>
          <w:szCs w:val="24"/>
          <w:shd w:val="clear" w:color="auto" w:fill="FFFFFF"/>
        </w:rPr>
      </w:pPr>
      <w:r w:rsidRPr="0021514B">
        <w:rPr>
          <w:rFonts w:cstheme="minorHAnsi"/>
          <w:b/>
          <w:bCs/>
          <w:sz w:val="24"/>
          <w:szCs w:val="24"/>
          <w:shd w:val="clear" w:color="auto" w:fill="FFFFFF"/>
        </w:rPr>
        <w:t>Health in SDG</w:t>
      </w:r>
      <w:r w:rsidR="00650A16">
        <w:rPr>
          <w:rFonts w:cstheme="minorHAnsi"/>
          <w:b/>
          <w:bCs/>
          <w:sz w:val="24"/>
          <w:szCs w:val="24"/>
          <w:shd w:val="clear" w:color="auto" w:fill="FFFFFF"/>
        </w:rPr>
        <w:t>s</w:t>
      </w:r>
      <w:r w:rsidRPr="0021514B">
        <w:rPr>
          <w:rFonts w:cstheme="minorHAnsi"/>
          <w:b/>
          <w:bCs/>
          <w:sz w:val="24"/>
          <w:szCs w:val="24"/>
          <w:shd w:val="clear" w:color="auto" w:fill="FFFFFF"/>
        </w:rPr>
        <w:t>:</w:t>
      </w:r>
    </w:p>
    <w:p w14:paraId="2A1EB426" w14:textId="77777777" w:rsidR="0021514B" w:rsidRPr="00804390" w:rsidRDefault="0021514B">
      <w:pPr>
        <w:rPr>
          <w:b/>
          <w:bCs/>
          <w:sz w:val="36"/>
          <w:szCs w:val="36"/>
        </w:rPr>
      </w:pPr>
      <w:r w:rsidRPr="00804390">
        <w:rPr>
          <w:noProof/>
          <w:sz w:val="44"/>
          <w:szCs w:val="44"/>
          <w:lang w:bidi="ne-NP"/>
        </w:rPr>
        <w:drawing>
          <wp:anchor distT="0" distB="0" distL="114300" distR="114300" simplePos="0" relativeHeight="251658240" behindDoc="0" locked="0" layoutInCell="1" allowOverlap="1" wp14:anchorId="280F931A" wp14:editId="788B1426">
            <wp:simplePos x="0" y="0"/>
            <wp:positionH relativeFrom="margin">
              <wp:align>left</wp:align>
            </wp:positionH>
            <wp:positionV relativeFrom="paragraph">
              <wp:posOffset>149860</wp:posOffset>
            </wp:positionV>
            <wp:extent cx="1181100" cy="1181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14:sizeRelH relativeFrom="margin">
              <wp14:pctWidth>0</wp14:pctWidth>
            </wp14:sizeRelH>
            <wp14:sizeRelV relativeFrom="margin">
              <wp14:pctHeight>0</wp14:pctHeight>
            </wp14:sizeRelV>
          </wp:anchor>
        </w:drawing>
      </w:r>
    </w:p>
    <w:p w14:paraId="76F1D44B" w14:textId="77777777" w:rsidR="00804390" w:rsidRPr="00804390" w:rsidRDefault="00804390" w:rsidP="00804390">
      <w:pPr>
        <w:spacing w:after="0"/>
        <w:rPr>
          <w:b/>
          <w:bCs/>
          <w:sz w:val="28"/>
          <w:szCs w:val="28"/>
          <w:u w:val="single"/>
        </w:rPr>
      </w:pPr>
      <w:r w:rsidRPr="00804390">
        <w:rPr>
          <w:b/>
          <w:bCs/>
          <w:sz w:val="28"/>
          <w:szCs w:val="28"/>
          <w:u w:val="single"/>
        </w:rPr>
        <w:t xml:space="preserve">Goal 3: </w:t>
      </w:r>
    </w:p>
    <w:p w14:paraId="366A2DD1" w14:textId="77777777" w:rsidR="00D1585B" w:rsidRPr="00804390" w:rsidRDefault="00497F65">
      <w:pPr>
        <w:rPr>
          <w:sz w:val="28"/>
          <w:szCs w:val="28"/>
        </w:rPr>
      </w:pPr>
      <w:r w:rsidRPr="00804390">
        <w:rPr>
          <w:sz w:val="28"/>
          <w:szCs w:val="28"/>
        </w:rPr>
        <w:t>Ensure health</w:t>
      </w:r>
      <w:r w:rsidR="00864C46">
        <w:rPr>
          <w:sz w:val="28"/>
          <w:szCs w:val="28"/>
        </w:rPr>
        <w:t>y</w:t>
      </w:r>
      <w:r w:rsidRPr="00804390">
        <w:rPr>
          <w:sz w:val="28"/>
          <w:szCs w:val="28"/>
        </w:rPr>
        <w:t xml:space="preserve"> lives and promote well-being for all at all ages.</w:t>
      </w:r>
    </w:p>
    <w:p w14:paraId="226C8C69" w14:textId="77777777" w:rsidR="0021514B" w:rsidRDefault="0021514B" w:rsidP="0021514B">
      <w:pPr>
        <w:rPr>
          <w:rFonts w:cstheme="minorHAnsi"/>
          <w:b/>
          <w:bCs/>
          <w:sz w:val="24"/>
          <w:szCs w:val="24"/>
          <w:shd w:val="clear" w:color="auto" w:fill="FFFFFF"/>
        </w:rPr>
      </w:pPr>
    </w:p>
    <w:p w14:paraId="395357AF" w14:textId="77777777" w:rsidR="00804390" w:rsidRPr="0021514B" w:rsidRDefault="0021514B">
      <w:pPr>
        <w:rPr>
          <w:b/>
          <w:bCs/>
        </w:rPr>
      </w:pPr>
      <w:r w:rsidRPr="0021514B">
        <w:rPr>
          <w:b/>
          <w:bCs/>
        </w:rPr>
        <w:t>Some indicators:</w:t>
      </w:r>
    </w:p>
    <w:tbl>
      <w:tblPr>
        <w:tblStyle w:val="TableGrid"/>
        <w:tblW w:w="9355" w:type="dxa"/>
        <w:tblLook w:val="04A0" w:firstRow="1" w:lastRow="0" w:firstColumn="1" w:lastColumn="0" w:noHBand="0" w:noVBand="1"/>
      </w:tblPr>
      <w:tblGrid>
        <w:gridCol w:w="6835"/>
        <w:gridCol w:w="2520"/>
      </w:tblGrid>
      <w:tr w:rsidR="00864C46" w:rsidRPr="00864C46" w14:paraId="62ED5E59" w14:textId="77777777" w:rsidTr="00C1717E">
        <w:tc>
          <w:tcPr>
            <w:tcW w:w="6835" w:type="dxa"/>
            <w:shd w:val="clear" w:color="auto" w:fill="1F9D37"/>
            <w:vAlign w:val="center"/>
          </w:tcPr>
          <w:p w14:paraId="4D57AF9D" w14:textId="77777777" w:rsidR="00804390" w:rsidRPr="00864C46" w:rsidRDefault="00804390" w:rsidP="00804390">
            <w:pPr>
              <w:jc w:val="center"/>
              <w:rPr>
                <w:b/>
                <w:bCs/>
                <w:color w:val="FFFFFF" w:themeColor="background1"/>
              </w:rPr>
            </w:pPr>
            <w:r w:rsidRPr="00864C46">
              <w:rPr>
                <w:b/>
                <w:bCs/>
                <w:color w:val="FFFFFF" w:themeColor="background1"/>
              </w:rPr>
              <w:t>Indicator</w:t>
            </w:r>
          </w:p>
        </w:tc>
        <w:tc>
          <w:tcPr>
            <w:tcW w:w="2520" w:type="dxa"/>
            <w:shd w:val="clear" w:color="auto" w:fill="1F9D37"/>
            <w:vAlign w:val="center"/>
          </w:tcPr>
          <w:p w14:paraId="37F8E81C" w14:textId="77777777" w:rsidR="00804390" w:rsidRPr="00864C46" w:rsidRDefault="00804390" w:rsidP="00804390">
            <w:pPr>
              <w:jc w:val="center"/>
              <w:rPr>
                <w:b/>
                <w:bCs/>
                <w:color w:val="FFFFFF" w:themeColor="background1"/>
              </w:rPr>
            </w:pPr>
            <w:r w:rsidRPr="00864C46">
              <w:rPr>
                <w:b/>
                <w:bCs/>
                <w:color w:val="FFFFFF" w:themeColor="background1"/>
              </w:rPr>
              <w:t>National Target by 2030</w:t>
            </w:r>
          </w:p>
        </w:tc>
      </w:tr>
      <w:tr w:rsidR="00804390" w14:paraId="580E73A4" w14:textId="77777777" w:rsidTr="00C1717E">
        <w:tc>
          <w:tcPr>
            <w:tcW w:w="6835" w:type="dxa"/>
          </w:tcPr>
          <w:p w14:paraId="474976EA" w14:textId="77777777" w:rsidR="00804390" w:rsidRDefault="00804390" w:rsidP="00220BC9">
            <w:r>
              <w:t>Birth attende</w:t>
            </w:r>
            <w:r w:rsidR="00220BC9">
              <w:t>d</w:t>
            </w:r>
            <w:r>
              <w:t xml:space="preserve"> by skilled health personnel (%)</w:t>
            </w:r>
          </w:p>
        </w:tc>
        <w:tc>
          <w:tcPr>
            <w:tcW w:w="2520" w:type="dxa"/>
          </w:tcPr>
          <w:p w14:paraId="6863CF23" w14:textId="77777777" w:rsidR="00804390" w:rsidRDefault="00804390" w:rsidP="00804390">
            <w:pPr>
              <w:jc w:val="center"/>
            </w:pPr>
            <w:r>
              <w:t>90</w:t>
            </w:r>
          </w:p>
        </w:tc>
      </w:tr>
      <w:tr w:rsidR="00804390" w14:paraId="0C0141DB" w14:textId="77777777" w:rsidTr="00C1717E">
        <w:tc>
          <w:tcPr>
            <w:tcW w:w="6835" w:type="dxa"/>
          </w:tcPr>
          <w:p w14:paraId="3D773312" w14:textId="77777777" w:rsidR="00804390" w:rsidRDefault="00804390" w:rsidP="00804390">
            <w:r>
              <w:t>Under five mortality rate (per thousand)</w:t>
            </w:r>
          </w:p>
        </w:tc>
        <w:tc>
          <w:tcPr>
            <w:tcW w:w="2520" w:type="dxa"/>
          </w:tcPr>
          <w:p w14:paraId="20EF00DF" w14:textId="77777777" w:rsidR="00804390" w:rsidRDefault="00804390" w:rsidP="00804390">
            <w:pPr>
              <w:jc w:val="center"/>
            </w:pPr>
            <w:r>
              <w:t>20</w:t>
            </w:r>
          </w:p>
        </w:tc>
      </w:tr>
      <w:tr w:rsidR="00804390" w14:paraId="03BF5BC0" w14:textId="77777777" w:rsidTr="00C1717E">
        <w:tc>
          <w:tcPr>
            <w:tcW w:w="6835" w:type="dxa"/>
          </w:tcPr>
          <w:p w14:paraId="2748360B" w14:textId="77777777" w:rsidR="00804390" w:rsidRDefault="00804390" w:rsidP="00804390">
            <w:r>
              <w:t>Vaccination coverage (%)</w:t>
            </w:r>
          </w:p>
        </w:tc>
        <w:tc>
          <w:tcPr>
            <w:tcW w:w="2520" w:type="dxa"/>
          </w:tcPr>
          <w:p w14:paraId="184E026A" w14:textId="77777777" w:rsidR="00804390" w:rsidRDefault="00804390" w:rsidP="00804390">
            <w:pPr>
              <w:jc w:val="center"/>
            </w:pPr>
            <w:r>
              <w:t>95</w:t>
            </w:r>
          </w:p>
        </w:tc>
      </w:tr>
      <w:tr w:rsidR="00081BBE" w14:paraId="21E7DB5C" w14:textId="77777777" w:rsidTr="00C1717E">
        <w:tc>
          <w:tcPr>
            <w:tcW w:w="6835" w:type="dxa"/>
          </w:tcPr>
          <w:p w14:paraId="5F2F93EA" w14:textId="760514B0" w:rsidR="00081BBE" w:rsidRDefault="00081BBE" w:rsidP="00804390">
            <w:r>
              <w:t>Maternal Mortality Ratio</w:t>
            </w:r>
            <w:r w:rsidR="000679CE">
              <w:t xml:space="preserve"> (</w:t>
            </w:r>
            <w:r w:rsidR="000679CE">
              <w:t>Per 100,000 Live Births</w:t>
            </w:r>
            <w:r w:rsidR="000679CE">
              <w:t>)</w:t>
            </w:r>
          </w:p>
        </w:tc>
        <w:tc>
          <w:tcPr>
            <w:tcW w:w="2520" w:type="dxa"/>
          </w:tcPr>
          <w:p w14:paraId="3F4A5691" w14:textId="730FCB74" w:rsidR="00081BBE" w:rsidRDefault="001B2FC9" w:rsidP="00804390">
            <w:pPr>
              <w:jc w:val="center"/>
            </w:pPr>
            <w:r>
              <w:t>7</w:t>
            </w:r>
            <w:bookmarkStart w:id="0" w:name="_GoBack"/>
            <w:bookmarkEnd w:id="0"/>
            <w:r w:rsidR="000679CE">
              <w:t>0</w:t>
            </w:r>
          </w:p>
        </w:tc>
      </w:tr>
    </w:tbl>
    <w:p w14:paraId="56D7145D" w14:textId="77777777" w:rsidR="00497F65" w:rsidRDefault="00497F65"/>
    <w:p w14:paraId="1435199E" w14:textId="79C0266D" w:rsidR="00497F65" w:rsidRPr="00081BBE" w:rsidRDefault="00497F65" w:rsidP="00F93A3A">
      <w:pPr>
        <w:pStyle w:val="Heading2"/>
      </w:pPr>
      <w:r w:rsidRPr="00081BBE">
        <w:t>Routine Health Data</w:t>
      </w:r>
    </w:p>
    <w:p w14:paraId="5424701B" w14:textId="77777777" w:rsidR="0021514B" w:rsidRPr="0021514B" w:rsidRDefault="0021514B" w:rsidP="00081BBE">
      <w:pPr>
        <w:spacing w:before="100" w:beforeAutospacing="1" w:after="100" w:afterAutospacing="1" w:line="240" w:lineRule="auto"/>
        <w:jc w:val="both"/>
        <w:rPr>
          <w:rFonts w:eastAsia="Times New Roman" w:cstheme="minorHAnsi"/>
          <w:sz w:val="24"/>
          <w:szCs w:val="24"/>
          <w:lang w:bidi="ne-NP"/>
        </w:rPr>
      </w:pPr>
      <w:r w:rsidRPr="00081BBE">
        <w:rPr>
          <w:rFonts w:eastAsia="Times New Roman" w:cstheme="minorHAnsi"/>
          <w:sz w:val="24"/>
          <w:szCs w:val="24"/>
          <w:lang w:bidi="ne-NP"/>
        </w:rPr>
        <w:t xml:space="preserve">Government of Nepal, Ministry of Health and Population has a separate body </w:t>
      </w:r>
      <w:r w:rsidR="00081BBE" w:rsidRPr="00081BBE">
        <w:rPr>
          <w:rFonts w:eastAsia="Times New Roman" w:cstheme="minorHAnsi"/>
          <w:sz w:val="24"/>
          <w:szCs w:val="24"/>
          <w:lang w:bidi="ne-NP"/>
        </w:rPr>
        <w:t xml:space="preserve">– Integrated Health Information Management Section(IHIMS) under Department of Health Services, </w:t>
      </w:r>
      <w:r w:rsidRPr="00081BBE">
        <w:rPr>
          <w:rFonts w:eastAsia="Times New Roman" w:cstheme="minorHAnsi"/>
          <w:sz w:val="24"/>
          <w:szCs w:val="24"/>
          <w:lang w:bidi="ne-NP"/>
        </w:rPr>
        <w:t xml:space="preserve">to </w:t>
      </w:r>
      <w:r w:rsidRPr="0021514B">
        <w:rPr>
          <w:rFonts w:eastAsia="Times New Roman" w:cstheme="minorHAnsi"/>
          <w:sz w:val="24"/>
          <w:szCs w:val="24"/>
          <w:lang w:bidi="ne-NP"/>
        </w:rPr>
        <w:t xml:space="preserve">manage health service </w:t>
      </w:r>
      <w:r w:rsidR="00081BBE" w:rsidRPr="00081BBE">
        <w:rPr>
          <w:rFonts w:eastAsia="Times New Roman" w:cstheme="minorHAnsi"/>
          <w:sz w:val="24"/>
          <w:szCs w:val="24"/>
          <w:lang w:bidi="ne-NP"/>
        </w:rPr>
        <w:t xml:space="preserve">related </w:t>
      </w:r>
      <w:r w:rsidRPr="0021514B">
        <w:rPr>
          <w:rFonts w:eastAsia="Times New Roman" w:cstheme="minorHAnsi"/>
          <w:sz w:val="24"/>
          <w:szCs w:val="24"/>
          <w:lang w:bidi="ne-NP"/>
        </w:rPr>
        <w:t xml:space="preserve">information from </w:t>
      </w:r>
      <w:r w:rsidRPr="00081BBE">
        <w:rPr>
          <w:rFonts w:eastAsia="Times New Roman" w:cstheme="minorHAnsi"/>
          <w:sz w:val="24"/>
          <w:szCs w:val="24"/>
          <w:lang w:bidi="ne-NP"/>
        </w:rPr>
        <w:t xml:space="preserve">every health </w:t>
      </w:r>
      <w:r w:rsidR="00081BBE" w:rsidRPr="00081BBE">
        <w:rPr>
          <w:rFonts w:eastAsia="Times New Roman" w:cstheme="minorHAnsi"/>
          <w:sz w:val="24"/>
          <w:szCs w:val="24"/>
          <w:lang w:bidi="ne-NP"/>
        </w:rPr>
        <w:t xml:space="preserve">institution. The section runs a robust and well defined Health Management Information System (HMIS) </w:t>
      </w:r>
      <w:r w:rsidRPr="0021514B">
        <w:rPr>
          <w:rFonts w:eastAsia="Times New Roman" w:cstheme="minorHAnsi"/>
          <w:sz w:val="24"/>
          <w:szCs w:val="24"/>
          <w:lang w:bidi="ne-NP"/>
        </w:rPr>
        <w:t>that provide</w:t>
      </w:r>
      <w:r w:rsidR="00081BBE" w:rsidRPr="00081BBE">
        <w:rPr>
          <w:rFonts w:eastAsia="Times New Roman" w:cstheme="minorHAnsi"/>
          <w:sz w:val="24"/>
          <w:szCs w:val="24"/>
          <w:lang w:bidi="ne-NP"/>
        </w:rPr>
        <w:t>s</w:t>
      </w:r>
      <w:r w:rsidRPr="0021514B">
        <w:rPr>
          <w:rFonts w:eastAsia="Times New Roman" w:cstheme="minorHAnsi"/>
          <w:sz w:val="24"/>
          <w:szCs w:val="24"/>
          <w:lang w:bidi="ne-NP"/>
        </w:rPr>
        <w:t xml:space="preserve"> </w:t>
      </w:r>
      <w:r w:rsidR="00081BBE" w:rsidRPr="00081BBE">
        <w:rPr>
          <w:rFonts w:eastAsia="Times New Roman" w:cstheme="minorHAnsi"/>
          <w:sz w:val="24"/>
          <w:szCs w:val="24"/>
          <w:lang w:bidi="ne-NP"/>
        </w:rPr>
        <w:t xml:space="preserve">routine health service data </w:t>
      </w:r>
      <w:r w:rsidRPr="0021514B">
        <w:rPr>
          <w:rFonts w:eastAsia="Times New Roman" w:cstheme="minorHAnsi"/>
          <w:sz w:val="24"/>
          <w:szCs w:val="24"/>
          <w:lang w:bidi="ne-NP"/>
        </w:rPr>
        <w:t>for planning, monitoring and evaluation of Health system at all levels. The major functions of the HMIS are:</w:t>
      </w:r>
    </w:p>
    <w:p w14:paraId="14ED8E02" w14:textId="77777777" w:rsidR="0021514B" w:rsidRPr="0021514B" w:rsidRDefault="0021514B" w:rsidP="00081BBE">
      <w:pPr>
        <w:numPr>
          <w:ilvl w:val="0"/>
          <w:numId w:val="1"/>
        </w:numPr>
        <w:spacing w:before="100" w:beforeAutospacing="1" w:after="100" w:afterAutospacing="1" w:line="240" w:lineRule="auto"/>
        <w:jc w:val="both"/>
        <w:rPr>
          <w:rFonts w:eastAsia="Times New Roman" w:cstheme="minorHAnsi"/>
          <w:sz w:val="24"/>
          <w:szCs w:val="24"/>
          <w:lang w:bidi="ne-NP"/>
        </w:rPr>
      </w:pPr>
      <w:r w:rsidRPr="0021514B">
        <w:rPr>
          <w:rFonts w:eastAsia="Times New Roman" w:cstheme="minorHAnsi"/>
          <w:sz w:val="24"/>
          <w:szCs w:val="24"/>
          <w:lang w:bidi="ne-NP"/>
        </w:rPr>
        <w:t>To collect and manage the health service delivery information for all level of health service delivery outlets including services at the communities by FCHVs and community level health workers.</w:t>
      </w:r>
    </w:p>
    <w:p w14:paraId="786DA02A" w14:textId="77777777" w:rsidR="0021514B" w:rsidRPr="0021514B" w:rsidRDefault="0021514B" w:rsidP="00081BBE">
      <w:pPr>
        <w:numPr>
          <w:ilvl w:val="0"/>
          <w:numId w:val="1"/>
        </w:numPr>
        <w:spacing w:before="100" w:beforeAutospacing="1" w:after="100" w:afterAutospacing="1" w:line="240" w:lineRule="auto"/>
        <w:jc w:val="both"/>
        <w:rPr>
          <w:rFonts w:eastAsia="Times New Roman" w:cstheme="minorHAnsi"/>
          <w:sz w:val="24"/>
          <w:szCs w:val="24"/>
          <w:lang w:bidi="ne-NP"/>
        </w:rPr>
      </w:pPr>
      <w:r w:rsidRPr="0021514B">
        <w:rPr>
          <w:rFonts w:eastAsia="Times New Roman" w:cstheme="minorHAnsi"/>
          <w:sz w:val="24"/>
          <w:szCs w:val="24"/>
          <w:lang w:bidi="ne-NP"/>
        </w:rPr>
        <w:t>To verify, process, analyze the collected data and operate data bank.</w:t>
      </w:r>
    </w:p>
    <w:p w14:paraId="20A6695D" w14:textId="77777777" w:rsidR="0021514B" w:rsidRPr="0021514B" w:rsidRDefault="0021514B" w:rsidP="00081BBE">
      <w:pPr>
        <w:numPr>
          <w:ilvl w:val="0"/>
          <w:numId w:val="1"/>
        </w:numPr>
        <w:spacing w:before="100" w:beforeAutospacing="1" w:after="100" w:afterAutospacing="1" w:line="240" w:lineRule="auto"/>
        <w:jc w:val="both"/>
        <w:rPr>
          <w:rFonts w:eastAsia="Times New Roman" w:cstheme="minorHAnsi"/>
          <w:sz w:val="24"/>
          <w:szCs w:val="24"/>
          <w:lang w:bidi="ne-NP"/>
        </w:rPr>
      </w:pPr>
      <w:r w:rsidRPr="0021514B">
        <w:rPr>
          <w:rFonts w:eastAsia="Times New Roman" w:cstheme="minorHAnsi"/>
          <w:sz w:val="24"/>
          <w:szCs w:val="24"/>
          <w:lang w:bidi="ne-NP"/>
        </w:rPr>
        <w:t xml:space="preserve">To provide feedbacks on achievements, coverage, continuity and quality of health services to </w:t>
      </w:r>
      <w:r w:rsidR="00081BBE" w:rsidRPr="00081BBE">
        <w:rPr>
          <w:rFonts w:eastAsia="Times New Roman" w:cstheme="minorHAnsi"/>
          <w:sz w:val="24"/>
          <w:szCs w:val="24"/>
          <w:lang w:bidi="ne-NP"/>
        </w:rPr>
        <w:t>the concerned authorities</w:t>
      </w:r>
    </w:p>
    <w:p w14:paraId="2B24E33D" w14:textId="77777777" w:rsidR="0021514B" w:rsidRPr="0021514B" w:rsidRDefault="0021514B" w:rsidP="00081BBE">
      <w:pPr>
        <w:numPr>
          <w:ilvl w:val="0"/>
          <w:numId w:val="1"/>
        </w:numPr>
        <w:spacing w:before="100" w:beforeAutospacing="1" w:after="100" w:afterAutospacing="1" w:line="240" w:lineRule="auto"/>
        <w:jc w:val="both"/>
        <w:rPr>
          <w:rFonts w:eastAsia="Times New Roman" w:cstheme="minorHAnsi"/>
          <w:sz w:val="24"/>
          <w:szCs w:val="24"/>
          <w:lang w:bidi="ne-NP"/>
        </w:rPr>
      </w:pPr>
      <w:r w:rsidRPr="0021514B">
        <w:rPr>
          <w:rFonts w:eastAsia="Times New Roman" w:cstheme="minorHAnsi"/>
          <w:sz w:val="24"/>
          <w:szCs w:val="24"/>
          <w:lang w:bidi="ne-NP"/>
        </w:rPr>
        <w:t>To draw indicators and relevant information and support to the programme management</w:t>
      </w:r>
    </w:p>
    <w:p w14:paraId="412E5574" w14:textId="77777777" w:rsidR="0021514B" w:rsidRPr="0021514B" w:rsidRDefault="0021514B" w:rsidP="00081BBE">
      <w:pPr>
        <w:numPr>
          <w:ilvl w:val="0"/>
          <w:numId w:val="1"/>
        </w:numPr>
        <w:spacing w:before="100" w:beforeAutospacing="1" w:after="100" w:afterAutospacing="1" w:line="240" w:lineRule="auto"/>
        <w:jc w:val="both"/>
        <w:rPr>
          <w:rFonts w:eastAsia="Times New Roman" w:cstheme="minorHAnsi"/>
          <w:sz w:val="24"/>
          <w:szCs w:val="24"/>
          <w:lang w:bidi="ne-NP"/>
        </w:rPr>
      </w:pPr>
      <w:r w:rsidRPr="0021514B">
        <w:rPr>
          <w:rFonts w:eastAsia="Times New Roman" w:cstheme="minorHAnsi"/>
          <w:sz w:val="24"/>
          <w:szCs w:val="24"/>
          <w:lang w:bidi="ne-NP"/>
        </w:rPr>
        <w:t>To disseminate health information through efficient methods and technologies</w:t>
      </w:r>
    </w:p>
    <w:p w14:paraId="2991291F" w14:textId="77777777" w:rsidR="0021514B" w:rsidRPr="0021514B" w:rsidRDefault="0021514B" w:rsidP="00081BBE">
      <w:pPr>
        <w:numPr>
          <w:ilvl w:val="0"/>
          <w:numId w:val="1"/>
        </w:numPr>
        <w:spacing w:before="100" w:beforeAutospacing="1" w:after="100" w:afterAutospacing="1" w:line="240" w:lineRule="auto"/>
        <w:jc w:val="both"/>
        <w:rPr>
          <w:rFonts w:eastAsia="Times New Roman" w:cstheme="minorHAnsi"/>
          <w:sz w:val="24"/>
          <w:szCs w:val="24"/>
          <w:lang w:bidi="ne-NP"/>
        </w:rPr>
      </w:pPr>
      <w:r w:rsidRPr="0021514B">
        <w:rPr>
          <w:rFonts w:eastAsia="Times New Roman" w:cstheme="minorHAnsi"/>
          <w:sz w:val="24"/>
          <w:szCs w:val="24"/>
          <w:lang w:bidi="ne-NP"/>
        </w:rPr>
        <w:t>To publish a comprehensive Annual Report of Department of Health Services</w:t>
      </w:r>
    </w:p>
    <w:p w14:paraId="40E345E8" w14:textId="77777777" w:rsidR="0021514B" w:rsidRPr="0021514B" w:rsidRDefault="0021514B" w:rsidP="00081BBE">
      <w:pPr>
        <w:numPr>
          <w:ilvl w:val="0"/>
          <w:numId w:val="1"/>
        </w:numPr>
        <w:spacing w:before="100" w:beforeAutospacing="1" w:after="100" w:afterAutospacing="1" w:line="240" w:lineRule="auto"/>
        <w:jc w:val="both"/>
        <w:rPr>
          <w:rFonts w:eastAsia="Times New Roman" w:cstheme="minorHAnsi"/>
          <w:sz w:val="24"/>
          <w:szCs w:val="24"/>
          <w:lang w:bidi="ne-NP"/>
        </w:rPr>
      </w:pPr>
      <w:r w:rsidRPr="0021514B">
        <w:rPr>
          <w:rFonts w:eastAsia="Times New Roman" w:cstheme="minorHAnsi"/>
          <w:sz w:val="24"/>
          <w:szCs w:val="24"/>
          <w:lang w:bidi="ne-NP"/>
        </w:rPr>
        <w:t>To develop competent human resource for Health Information Management System</w:t>
      </w:r>
    </w:p>
    <w:p w14:paraId="69FD9F3C" w14:textId="77777777" w:rsidR="00081BBE" w:rsidRPr="00081BBE" w:rsidRDefault="00081BBE" w:rsidP="00081BBE">
      <w:pPr>
        <w:spacing w:after="0"/>
        <w:rPr>
          <w:rFonts w:cstheme="minorHAnsi"/>
          <w:sz w:val="24"/>
          <w:szCs w:val="24"/>
          <w:shd w:val="clear" w:color="auto" w:fill="FFFFFF"/>
        </w:rPr>
      </w:pPr>
      <w:r w:rsidRPr="00081BBE">
        <w:rPr>
          <w:rFonts w:cstheme="minorHAnsi"/>
          <w:sz w:val="24"/>
          <w:szCs w:val="24"/>
          <w:shd w:val="clear" w:color="auto" w:fill="FFFFFF"/>
        </w:rPr>
        <w:t>HMIS system focuses on collection, validation, analysis and presentation of aggregate health service delivery data on monthly basis.</w:t>
      </w:r>
    </w:p>
    <w:p w14:paraId="41D2A55A" w14:textId="77777777" w:rsidR="00081BBE" w:rsidRDefault="00081BBE" w:rsidP="00081BBE">
      <w:pPr>
        <w:spacing w:after="0"/>
        <w:rPr>
          <w:rFonts w:cstheme="minorHAnsi"/>
          <w:b/>
          <w:bCs/>
          <w:sz w:val="24"/>
          <w:szCs w:val="24"/>
          <w:shd w:val="clear" w:color="auto" w:fill="FFFFFF"/>
        </w:rPr>
      </w:pPr>
    </w:p>
    <w:p w14:paraId="491E3E65" w14:textId="77777777" w:rsidR="0021514B" w:rsidRPr="00081BBE" w:rsidRDefault="00081BBE" w:rsidP="00081BBE">
      <w:pPr>
        <w:spacing w:after="0"/>
        <w:rPr>
          <w:rFonts w:cstheme="minorHAnsi"/>
          <w:b/>
          <w:bCs/>
          <w:sz w:val="24"/>
          <w:szCs w:val="24"/>
          <w:shd w:val="clear" w:color="auto" w:fill="FFFFFF"/>
        </w:rPr>
      </w:pPr>
      <w:r w:rsidRPr="00081BBE">
        <w:rPr>
          <w:rFonts w:cstheme="minorHAnsi"/>
          <w:b/>
          <w:bCs/>
          <w:sz w:val="24"/>
          <w:szCs w:val="24"/>
          <w:shd w:val="clear" w:color="auto" w:fill="FFFFFF"/>
        </w:rPr>
        <w:lastRenderedPageBreak/>
        <w:t>Some indicators from HMIS</w:t>
      </w:r>
      <w:r>
        <w:rPr>
          <w:rFonts w:cstheme="minorHAnsi"/>
          <w:b/>
          <w:bCs/>
          <w:sz w:val="24"/>
          <w:szCs w:val="24"/>
          <w:shd w:val="clear" w:color="auto" w:fill="FFFFFF"/>
        </w:rPr>
        <w:t xml:space="preserve"> (3 municipalities):</w:t>
      </w:r>
    </w:p>
    <w:tbl>
      <w:tblPr>
        <w:tblW w:w="93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862"/>
        <w:gridCol w:w="1440"/>
        <w:gridCol w:w="810"/>
        <w:gridCol w:w="810"/>
        <w:gridCol w:w="810"/>
        <w:gridCol w:w="810"/>
        <w:gridCol w:w="810"/>
      </w:tblGrid>
      <w:tr w:rsidR="00D1585B" w:rsidRPr="00D1585B" w14:paraId="324EE841" w14:textId="77777777" w:rsidTr="00497F65">
        <w:trPr>
          <w:trHeight w:val="345"/>
        </w:trPr>
        <w:tc>
          <w:tcPr>
            <w:tcW w:w="3862" w:type="dxa"/>
            <w:tcBorders>
              <w:top w:val="single" w:sz="6" w:space="0" w:color="B2B2B2"/>
              <w:left w:val="single" w:sz="6" w:space="0" w:color="B2B2B2"/>
              <w:bottom w:val="single" w:sz="6" w:space="0" w:color="B2B2B2"/>
              <w:right w:val="single" w:sz="6" w:space="0" w:color="B2B2B2"/>
            </w:tcBorders>
            <w:shd w:val="clear" w:color="auto" w:fill="C7D5E9"/>
            <w:noWrap/>
            <w:tcMar>
              <w:top w:w="15" w:type="dxa"/>
              <w:left w:w="15" w:type="dxa"/>
              <w:bottom w:w="15" w:type="dxa"/>
              <w:right w:w="75" w:type="dxa"/>
            </w:tcMar>
            <w:vAlign w:val="center"/>
            <w:hideMark/>
          </w:tcPr>
          <w:p w14:paraId="284C7439" w14:textId="77777777" w:rsidR="00D1585B" w:rsidRPr="00D1585B" w:rsidRDefault="00D1585B" w:rsidP="00D1585B">
            <w:pPr>
              <w:spacing w:after="0" w:line="240" w:lineRule="auto"/>
              <w:jc w:val="center"/>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Organisation unit</w:t>
            </w:r>
          </w:p>
        </w:tc>
        <w:tc>
          <w:tcPr>
            <w:tcW w:w="2250" w:type="dxa"/>
            <w:gridSpan w:val="2"/>
            <w:tcBorders>
              <w:top w:val="single" w:sz="6" w:space="0" w:color="B2B2B2"/>
              <w:left w:val="single" w:sz="6" w:space="0" w:color="B2B2B2"/>
              <w:bottom w:val="single" w:sz="6" w:space="0" w:color="B2B2B2"/>
              <w:right w:val="single" w:sz="6" w:space="0" w:color="B2B2B2"/>
            </w:tcBorders>
            <w:shd w:val="clear" w:color="auto" w:fill="DAE6F8"/>
            <w:tcMar>
              <w:top w:w="15" w:type="dxa"/>
              <w:left w:w="15" w:type="dxa"/>
              <w:bottom w:w="15" w:type="dxa"/>
              <w:right w:w="75" w:type="dxa"/>
            </w:tcMar>
            <w:vAlign w:val="center"/>
            <w:hideMark/>
          </w:tcPr>
          <w:p w14:paraId="181365C8" w14:textId="77777777" w:rsidR="00D1585B" w:rsidRPr="00D1585B" w:rsidRDefault="00D1585B" w:rsidP="00D1585B">
            <w:pPr>
              <w:spacing w:after="0" w:line="240" w:lineRule="auto"/>
              <w:jc w:val="center"/>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51106 Nepalganj Sub-Metropolitan City</w:t>
            </w:r>
          </w:p>
        </w:tc>
        <w:tc>
          <w:tcPr>
            <w:tcW w:w="1620" w:type="dxa"/>
            <w:gridSpan w:val="2"/>
            <w:tcBorders>
              <w:top w:val="single" w:sz="6" w:space="0" w:color="B2B2B2"/>
              <w:left w:val="single" w:sz="6" w:space="0" w:color="B2B2B2"/>
              <w:bottom w:val="single" w:sz="6" w:space="0" w:color="B2B2B2"/>
              <w:right w:val="single" w:sz="6" w:space="0" w:color="B2B2B2"/>
            </w:tcBorders>
            <w:shd w:val="clear" w:color="auto" w:fill="DAE6F8"/>
            <w:tcMar>
              <w:top w:w="15" w:type="dxa"/>
              <w:left w:w="15" w:type="dxa"/>
              <w:bottom w:w="15" w:type="dxa"/>
              <w:right w:w="75" w:type="dxa"/>
            </w:tcMar>
            <w:vAlign w:val="center"/>
            <w:hideMark/>
          </w:tcPr>
          <w:p w14:paraId="3B34708A" w14:textId="77777777" w:rsidR="00D1585B" w:rsidRPr="00D1585B" w:rsidRDefault="00D1585B" w:rsidP="00D1585B">
            <w:pPr>
              <w:spacing w:after="0" w:line="240" w:lineRule="auto"/>
              <w:jc w:val="center"/>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30703 Madhyapur Thimi Municipality</w:t>
            </w:r>
          </w:p>
        </w:tc>
        <w:tc>
          <w:tcPr>
            <w:tcW w:w="1620" w:type="dxa"/>
            <w:gridSpan w:val="2"/>
            <w:tcBorders>
              <w:top w:val="single" w:sz="6" w:space="0" w:color="B2B2B2"/>
              <w:left w:val="single" w:sz="6" w:space="0" w:color="B2B2B2"/>
              <w:bottom w:val="single" w:sz="6" w:space="0" w:color="B2B2B2"/>
              <w:right w:val="single" w:sz="6" w:space="0" w:color="B2B2B2"/>
            </w:tcBorders>
            <w:shd w:val="clear" w:color="auto" w:fill="DAE6F8"/>
            <w:tcMar>
              <w:top w:w="15" w:type="dxa"/>
              <w:left w:w="15" w:type="dxa"/>
              <w:bottom w:w="15" w:type="dxa"/>
              <w:right w:w="75" w:type="dxa"/>
            </w:tcMar>
            <w:vAlign w:val="center"/>
            <w:hideMark/>
          </w:tcPr>
          <w:p w14:paraId="65CE3187" w14:textId="77777777" w:rsidR="00D1585B" w:rsidRPr="00D1585B" w:rsidRDefault="00D1585B" w:rsidP="00D1585B">
            <w:pPr>
              <w:spacing w:after="0" w:line="240" w:lineRule="auto"/>
              <w:jc w:val="center"/>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70803 Godawari Municipality</w:t>
            </w:r>
          </w:p>
        </w:tc>
      </w:tr>
      <w:tr w:rsidR="00D1585B" w:rsidRPr="00D1585B" w14:paraId="1ECFB79F" w14:textId="77777777" w:rsidTr="00497F65">
        <w:trPr>
          <w:trHeight w:val="525"/>
        </w:trPr>
        <w:tc>
          <w:tcPr>
            <w:tcW w:w="3862" w:type="dxa"/>
            <w:tcBorders>
              <w:top w:val="single" w:sz="6" w:space="0" w:color="B2B2B2"/>
              <w:left w:val="single" w:sz="6" w:space="0" w:color="B2B2B2"/>
              <w:bottom w:val="single" w:sz="6" w:space="0" w:color="B2B2B2"/>
              <w:right w:val="single" w:sz="6" w:space="0" w:color="B2B2B2"/>
            </w:tcBorders>
            <w:shd w:val="clear" w:color="auto" w:fill="C7D5E9"/>
            <w:noWrap/>
            <w:tcMar>
              <w:top w:w="15" w:type="dxa"/>
              <w:left w:w="15" w:type="dxa"/>
              <w:bottom w:w="15" w:type="dxa"/>
              <w:right w:w="75" w:type="dxa"/>
            </w:tcMar>
            <w:vAlign w:val="center"/>
            <w:hideMark/>
          </w:tcPr>
          <w:p w14:paraId="1830C1C9" w14:textId="77777777" w:rsidR="00D1585B" w:rsidRPr="00D1585B" w:rsidRDefault="00D1585B" w:rsidP="00D1585B">
            <w:pPr>
              <w:spacing w:after="0" w:line="240" w:lineRule="auto"/>
              <w:jc w:val="center"/>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Data / Period</w:t>
            </w:r>
          </w:p>
        </w:tc>
        <w:tc>
          <w:tcPr>
            <w:tcW w:w="1440" w:type="dxa"/>
            <w:tcBorders>
              <w:top w:val="single" w:sz="6" w:space="0" w:color="B2B2B2"/>
              <w:left w:val="single" w:sz="6" w:space="0" w:color="B2B2B2"/>
              <w:bottom w:val="single" w:sz="6" w:space="0" w:color="B2B2B2"/>
              <w:right w:val="single" w:sz="6" w:space="0" w:color="B2B2B2"/>
            </w:tcBorders>
            <w:shd w:val="clear" w:color="auto" w:fill="DAE6F8"/>
            <w:tcMar>
              <w:top w:w="15" w:type="dxa"/>
              <w:left w:w="15" w:type="dxa"/>
              <w:bottom w:w="15" w:type="dxa"/>
              <w:right w:w="75" w:type="dxa"/>
            </w:tcMar>
            <w:vAlign w:val="center"/>
            <w:hideMark/>
          </w:tcPr>
          <w:p w14:paraId="2186EA07" w14:textId="77777777" w:rsidR="00D1585B" w:rsidRPr="00D1585B" w:rsidRDefault="00D1585B" w:rsidP="00D1585B">
            <w:pPr>
              <w:spacing w:after="0" w:line="240" w:lineRule="auto"/>
              <w:jc w:val="center"/>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Shrawan 2073 to Asar 2074</w:t>
            </w:r>
          </w:p>
        </w:tc>
        <w:tc>
          <w:tcPr>
            <w:tcW w:w="810" w:type="dxa"/>
            <w:tcBorders>
              <w:top w:val="single" w:sz="6" w:space="0" w:color="B2B2B2"/>
              <w:left w:val="single" w:sz="6" w:space="0" w:color="B2B2B2"/>
              <w:bottom w:val="single" w:sz="6" w:space="0" w:color="B2B2B2"/>
              <w:right w:val="single" w:sz="6" w:space="0" w:color="B2B2B2"/>
            </w:tcBorders>
            <w:shd w:val="clear" w:color="auto" w:fill="DAE6F8"/>
            <w:tcMar>
              <w:top w:w="15" w:type="dxa"/>
              <w:left w:w="15" w:type="dxa"/>
              <w:bottom w:w="15" w:type="dxa"/>
              <w:right w:w="75" w:type="dxa"/>
            </w:tcMar>
            <w:vAlign w:val="center"/>
            <w:hideMark/>
          </w:tcPr>
          <w:p w14:paraId="4FCCD640" w14:textId="77777777" w:rsidR="00D1585B" w:rsidRPr="00D1585B" w:rsidRDefault="00D1585B" w:rsidP="00D1585B">
            <w:pPr>
              <w:spacing w:after="0" w:line="240" w:lineRule="auto"/>
              <w:jc w:val="center"/>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Shrawan 2074 to Asar 2075</w:t>
            </w:r>
          </w:p>
        </w:tc>
        <w:tc>
          <w:tcPr>
            <w:tcW w:w="810" w:type="dxa"/>
            <w:tcBorders>
              <w:top w:val="single" w:sz="6" w:space="0" w:color="B2B2B2"/>
              <w:left w:val="single" w:sz="6" w:space="0" w:color="B2B2B2"/>
              <w:bottom w:val="single" w:sz="6" w:space="0" w:color="B2B2B2"/>
              <w:right w:val="single" w:sz="6" w:space="0" w:color="B2B2B2"/>
            </w:tcBorders>
            <w:shd w:val="clear" w:color="auto" w:fill="DAE6F8"/>
            <w:tcMar>
              <w:top w:w="15" w:type="dxa"/>
              <w:left w:w="15" w:type="dxa"/>
              <w:bottom w:w="15" w:type="dxa"/>
              <w:right w:w="75" w:type="dxa"/>
            </w:tcMar>
            <w:vAlign w:val="center"/>
            <w:hideMark/>
          </w:tcPr>
          <w:p w14:paraId="00442893" w14:textId="77777777" w:rsidR="00D1585B" w:rsidRPr="00D1585B" w:rsidRDefault="00D1585B" w:rsidP="00D1585B">
            <w:pPr>
              <w:spacing w:after="0" w:line="240" w:lineRule="auto"/>
              <w:jc w:val="center"/>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Shrawan 2073 to Asar 2074</w:t>
            </w:r>
          </w:p>
        </w:tc>
        <w:tc>
          <w:tcPr>
            <w:tcW w:w="810" w:type="dxa"/>
            <w:tcBorders>
              <w:top w:val="single" w:sz="6" w:space="0" w:color="B2B2B2"/>
              <w:left w:val="single" w:sz="6" w:space="0" w:color="B2B2B2"/>
              <w:bottom w:val="single" w:sz="6" w:space="0" w:color="B2B2B2"/>
              <w:right w:val="single" w:sz="6" w:space="0" w:color="B2B2B2"/>
            </w:tcBorders>
            <w:shd w:val="clear" w:color="auto" w:fill="DAE6F8"/>
            <w:tcMar>
              <w:top w:w="15" w:type="dxa"/>
              <w:left w:w="15" w:type="dxa"/>
              <w:bottom w:w="15" w:type="dxa"/>
              <w:right w:w="75" w:type="dxa"/>
            </w:tcMar>
            <w:vAlign w:val="center"/>
            <w:hideMark/>
          </w:tcPr>
          <w:p w14:paraId="51D54247" w14:textId="77777777" w:rsidR="00D1585B" w:rsidRPr="00D1585B" w:rsidRDefault="00D1585B" w:rsidP="00D1585B">
            <w:pPr>
              <w:spacing w:after="0" w:line="240" w:lineRule="auto"/>
              <w:jc w:val="center"/>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Shrawan 2074 to Asar 2075</w:t>
            </w:r>
          </w:p>
        </w:tc>
        <w:tc>
          <w:tcPr>
            <w:tcW w:w="810" w:type="dxa"/>
            <w:tcBorders>
              <w:top w:val="single" w:sz="6" w:space="0" w:color="B2B2B2"/>
              <w:left w:val="single" w:sz="6" w:space="0" w:color="B2B2B2"/>
              <w:bottom w:val="single" w:sz="6" w:space="0" w:color="B2B2B2"/>
              <w:right w:val="single" w:sz="6" w:space="0" w:color="B2B2B2"/>
            </w:tcBorders>
            <w:shd w:val="clear" w:color="auto" w:fill="DAE6F8"/>
            <w:tcMar>
              <w:top w:w="15" w:type="dxa"/>
              <w:left w:w="15" w:type="dxa"/>
              <w:bottom w:w="15" w:type="dxa"/>
              <w:right w:w="75" w:type="dxa"/>
            </w:tcMar>
            <w:vAlign w:val="center"/>
            <w:hideMark/>
          </w:tcPr>
          <w:p w14:paraId="7D5C8471" w14:textId="77777777" w:rsidR="00D1585B" w:rsidRPr="00D1585B" w:rsidRDefault="00D1585B" w:rsidP="00D1585B">
            <w:pPr>
              <w:spacing w:after="0" w:line="240" w:lineRule="auto"/>
              <w:jc w:val="center"/>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Shrawan 2073 to Asar 2074</w:t>
            </w:r>
          </w:p>
        </w:tc>
        <w:tc>
          <w:tcPr>
            <w:tcW w:w="810" w:type="dxa"/>
            <w:tcBorders>
              <w:top w:val="single" w:sz="6" w:space="0" w:color="B2B2B2"/>
              <w:left w:val="single" w:sz="6" w:space="0" w:color="B2B2B2"/>
              <w:bottom w:val="single" w:sz="6" w:space="0" w:color="B2B2B2"/>
              <w:right w:val="single" w:sz="6" w:space="0" w:color="B2B2B2"/>
            </w:tcBorders>
            <w:shd w:val="clear" w:color="auto" w:fill="DAE6F8"/>
            <w:tcMar>
              <w:top w:w="15" w:type="dxa"/>
              <w:left w:w="15" w:type="dxa"/>
              <w:bottom w:w="15" w:type="dxa"/>
              <w:right w:w="75" w:type="dxa"/>
            </w:tcMar>
            <w:vAlign w:val="center"/>
            <w:hideMark/>
          </w:tcPr>
          <w:p w14:paraId="6151EBCB" w14:textId="77777777" w:rsidR="00D1585B" w:rsidRPr="00D1585B" w:rsidRDefault="00D1585B" w:rsidP="00D1585B">
            <w:pPr>
              <w:spacing w:after="0" w:line="240" w:lineRule="auto"/>
              <w:jc w:val="center"/>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Shrawan 2074 to Asar 2075</w:t>
            </w:r>
          </w:p>
        </w:tc>
      </w:tr>
      <w:tr w:rsidR="00D1585B" w:rsidRPr="00D1585B" w14:paraId="1D138626" w14:textId="77777777" w:rsidTr="00497F65">
        <w:trPr>
          <w:trHeight w:val="345"/>
        </w:trPr>
        <w:tc>
          <w:tcPr>
            <w:tcW w:w="3862" w:type="dxa"/>
            <w:tcBorders>
              <w:top w:val="single" w:sz="6" w:space="0" w:color="B2B2B2"/>
              <w:left w:val="single" w:sz="6" w:space="0" w:color="B2B2B2"/>
              <w:bottom w:val="single" w:sz="6" w:space="0" w:color="B2B2B2"/>
              <w:right w:val="single" w:sz="6" w:space="0" w:color="B2B2B2"/>
            </w:tcBorders>
            <w:shd w:val="clear" w:color="auto" w:fill="DAE6F8"/>
            <w:noWrap/>
            <w:tcMar>
              <w:top w:w="15" w:type="dxa"/>
              <w:left w:w="15" w:type="dxa"/>
              <w:bottom w:w="15" w:type="dxa"/>
              <w:right w:w="75" w:type="dxa"/>
            </w:tcMar>
            <w:vAlign w:val="center"/>
            <w:hideMark/>
          </w:tcPr>
          <w:p w14:paraId="21C3FF51" w14:textId="77777777" w:rsidR="00D1585B" w:rsidRPr="00D1585B" w:rsidRDefault="00D1585B" w:rsidP="00D1585B">
            <w:pPr>
              <w:spacing w:after="0" w:line="240" w:lineRule="auto"/>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Percentage of children aged 9-11 months immunized with measles/rubella 1</w:t>
            </w:r>
          </w:p>
        </w:tc>
        <w:tc>
          <w:tcPr>
            <w:tcW w:w="144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772694DF"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79.4</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1E2A3609"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87.3</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5467B708"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87.5</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29E59DDA"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94.7</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68E575E8"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88.1</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45E92A96"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84.5</w:t>
            </w:r>
          </w:p>
        </w:tc>
      </w:tr>
      <w:tr w:rsidR="00D1585B" w:rsidRPr="00D1585B" w14:paraId="3E5F238D" w14:textId="77777777" w:rsidTr="00497F65">
        <w:trPr>
          <w:trHeight w:val="345"/>
        </w:trPr>
        <w:tc>
          <w:tcPr>
            <w:tcW w:w="3862" w:type="dxa"/>
            <w:tcBorders>
              <w:top w:val="single" w:sz="6" w:space="0" w:color="B2B2B2"/>
              <w:left w:val="single" w:sz="6" w:space="0" w:color="B2B2B2"/>
              <w:bottom w:val="single" w:sz="6" w:space="0" w:color="B2B2B2"/>
              <w:right w:val="single" w:sz="6" w:space="0" w:color="B2B2B2"/>
            </w:tcBorders>
            <w:shd w:val="clear" w:color="auto" w:fill="DAE6F8"/>
            <w:noWrap/>
            <w:tcMar>
              <w:top w:w="15" w:type="dxa"/>
              <w:left w:w="15" w:type="dxa"/>
              <w:bottom w:w="15" w:type="dxa"/>
              <w:right w:w="75" w:type="dxa"/>
            </w:tcMar>
            <w:vAlign w:val="center"/>
            <w:hideMark/>
          </w:tcPr>
          <w:p w14:paraId="110E287D" w14:textId="77777777" w:rsidR="00D1585B" w:rsidRPr="00D1585B" w:rsidRDefault="00D1585B" w:rsidP="00D1585B">
            <w:pPr>
              <w:spacing w:after="0" w:line="240" w:lineRule="auto"/>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Percentage of children aged 12-23 months immunized with measles/rubella 2</w:t>
            </w:r>
          </w:p>
        </w:tc>
        <w:tc>
          <w:tcPr>
            <w:tcW w:w="144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6733FE3A"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55.4</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50ACE776"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91</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14388564"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62.1</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576219E7"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73.8</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6988A52E"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52</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3A35D5FD"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52.4</w:t>
            </w:r>
          </w:p>
        </w:tc>
      </w:tr>
      <w:tr w:rsidR="00D1585B" w:rsidRPr="00D1585B" w14:paraId="7320D4AF" w14:textId="77777777" w:rsidTr="00497F65">
        <w:trPr>
          <w:trHeight w:val="345"/>
        </w:trPr>
        <w:tc>
          <w:tcPr>
            <w:tcW w:w="3862" w:type="dxa"/>
            <w:tcBorders>
              <w:top w:val="single" w:sz="6" w:space="0" w:color="B2B2B2"/>
              <w:left w:val="single" w:sz="6" w:space="0" w:color="B2B2B2"/>
              <w:bottom w:val="single" w:sz="6" w:space="0" w:color="B2B2B2"/>
              <w:right w:val="single" w:sz="6" w:space="0" w:color="B2B2B2"/>
            </w:tcBorders>
            <w:shd w:val="clear" w:color="auto" w:fill="DAE6F8"/>
            <w:noWrap/>
            <w:tcMar>
              <w:top w:w="15" w:type="dxa"/>
              <w:left w:w="15" w:type="dxa"/>
              <w:bottom w:w="15" w:type="dxa"/>
              <w:right w:w="75" w:type="dxa"/>
            </w:tcMar>
            <w:vAlign w:val="center"/>
            <w:hideMark/>
          </w:tcPr>
          <w:p w14:paraId="62E3AD7D" w14:textId="77777777" w:rsidR="00D1585B" w:rsidRPr="00D1585B" w:rsidRDefault="00D1585B" w:rsidP="00D1585B">
            <w:pPr>
              <w:spacing w:after="0" w:line="240" w:lineRule="auto"/>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Percentage of children aged 0-11 months registered for growth monitoring</w:t>
            </w:r>
          </w:p>
        </w:tc>
        <w:tc>
          <w:tcPr>
            <w:tcW w:w="144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5383895F"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50</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7839F01A"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58</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61BD198B"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81.2</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2E89CC54"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104.8</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77707C64"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77</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31610C47"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71.5</w:t>
            </w:r>
          </w:p>
        </w:tc>
      </w:tr>
      <w:tr w:rsidR="00D1585B" w:rsidRPr="00D1585B" w14:paraId="0CB5F486" w14:textId="77777777" w:rsidTr="00497F65">
        <w:trPr>
          <w:trHeight w:val="345"/>
        </w:trPr>
        <w:tc>
          <w:tcPr>
            <w:tcW w:w="3862" w:type="dxa"/>
            <w:tcBorders>
              <w:top w:val="single" w:sz="6" w:space="0" w:color="B2B2B2"/>
              <w:left w:val="single" w:sz="6" w:space="0" w:color="B2B2B2"/>
              <w:bottom w:val="single" w:sz="6" w:space="0" w:color="B2B2B2"/>
              <w:right w:val="single" w:sz="6" w:space="0" w:color="B2B2B2"/>
            </w:tcBorders>
            <w:shd w:val="clear" w:color="auto" w:fill="DAE6F8"/>
            <w:noWrap/>
            <w:tcMar>
              <w:top w:w="15" w:type="dxa"/>
              <w:left w:w="15" w:type="dxa"/>
              <w:bottom w:w="15" w:type="dxa"/>
              <w:right w:w="75" w:type="dxa"/>
            </w:tcMar>
            <w:vAlign w:val="center"/>
            <w:hideMark/>
          </w:tcPr>
          <w:p w14:paraId="4D8C360F" w14:textId="77777777" w:rsidR="00D1585B" w:rsidRPr="00D1585B" w:rsidRDefault="00D1585B" w:rsidP="00D1585B">
            <w:pPr>
              <w:spacing w:after="0" w:line="240" w:lineRule="auto"/>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Percentage of children aged 0-23 months registered for growth monitoring</w:t>
            </w:r>
          </w:p>
        </w:tc>
        <w:tc>
          <w:tcPr>
            <w:tcW w:w="144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1702BA4A"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33.6</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5EB15E61"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42.7</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557EA39A"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78.4</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76572827"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101.5</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08AC5EE0"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46.9</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57C070D8"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45.3</w:t>
            </w:r>
          </w:p>
        </w:tc>
      </w:tr>
      <w:tr w:rsidR="00D1585B" w:rsidRPr="00D1585B" w14:paraId="4A1CEFDB" w14:textId="77777777" w:rsidTr="00497F65">
        <w:trPr>
          <w:trHeight w:val="345"/>
        </w:trPr>
        <w:tc>
          <w:tcPr>
            <w:tcW w:w="3862" w:type="dxa"/>
            <w:tcBorders>
              <w:top w:val="single" w:sz="6" w:space="0" w:color="B2B2B2"/>
              <w:left w:val="single" w:sz="6" w:space="0" w:color="B2B2B2"/>
              <w:bottom w:val="single" w:sz="6" w:space="0" w:color="B2B2B2"/>
              <w:right w:val="single" w:sz="6" w:space="0" w:color="B2B2B2"/>
            </w:tcBorders>
            <w:shd w:val="clear" w:color="auto" w:fill="DAE6F8"/>
            <w:noWrap/>
            <w:tcMar>
              <w:top w:w="15" w:type="dxa"/>
              <w:left w:w="15" w:type="dxa"/>
              <w:bottom w:w="15" w:type="dxa"/>
              <w:right w:w="75" w:type="dxa"/>
            </w:tcMar>
            <w:vAlign w:val="center"/>
            <w:hideMark/>
          </w:tcPr>
          <w:p w14:paraId="3B727B4B" w14:textId="77777777" w:rsidR="00D1585B" w:rsidRPr="00D1585B" w:rsidRDefault="00D1585B" w:rsidP="00D1585B">
            <w:pPr>
              <w:spacing w:after="0" w:line="240" w:lineRule="auto"/>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Percentage of children aged 12-23 months registered for growth monitoring</w:t>
            </w:r>
          </w:p>
        </w:tc>
        <w:tc>
          <w:tcPr>
            <w:tcW w:w="144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31F0B215"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17.8</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79EC8E31"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25.8</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0317E158"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75.8</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462CA40A"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98.5</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399E00E2"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16.9</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7D94A222"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22.7</w:t>
            </w:r>
          </w:p>
        </w:tc>
      </w:tr>
      <w:tr w:rsidR="00D1585B" w:rsidRPr="00D1585B" w14:paraId="5A4A3BAC" w14:textId="77777777" w:rsidTr="00497F65">
        <w:trPr>
          <w:trHeight w:val="345"/>
        </w:trPr>
        <w:tc>
          <w:tcPr>
            <w:tcW w:w="3862" w:type="dxa"/>
            <w:tcBorders>
              <w:top w:val="single" w:sz="6" w:space="0" w:color="B2B2B2"/>
              <w:left w:val="single" w:sz="6" w:space="0" w:color="B2B2B2"/>
              <w:bottom w:val="single" w:sz="6" w:space="0" w:color="B2B2B2"/>
              <w:right w:val="single" w:sz="6" w:space="0" w:color="B2B2B2"/>
            </w:tcBorders>
            <w:shd w:val="clear" w:color="auto" w:fill="DAE6F8"/>
            <w:noWrap/>
            <w:tcMar>
              <w:top w:w="15" w:type="dxa"/>
              <w:left w:w="15" w:type="dxa"/>
              <w:bottom w:w="15" w:type="dxa"/>
              <w:right w:w="75" w:type="dxa"/>
            </w:tcMar>
            <w:vAlign w:val="center"/>
            <w:hideMark/>
          </w:tcPr>
          <w:p w14:paraId="532A87FD" w14:textId="77777777" w:rsidR="00D1585B" w:rsidRPr="00D1585B" w:rsidRDefault="00D1585B" w:rsidP="00D1585B">
            <w:pPr>
              <w:spacing w:after="0" w:line="240" w:lineRule="auto"/>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 of children aged 0-23 months registered for Growth Monitoring (New) who were Underweight</w:t>
            </w:r>
          </w:p>
        </w:tc>
        <w:tc>
          <w:tcPr>
            <w:tcW w:w="144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21AFD02D"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6.6</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70D20AF6"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4.8</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44FB7D8C"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3.7</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7F0C3933"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0.8</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12FB5576"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3.3</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4F0A5420"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5.5</w:t>
            </w:r>
          </w:p>
        </w:tc>
      </w:tr>
      <w:tr w:rsidR="00D1585B" w:rsidRPr="00D1585B" w14:paraId="43D1019E" w14:textId="77777777" w:rsidTr="00497F65">
        <w:trPr>
          <w:trHeight w:val="345"/>
        </w:trPr>
        <w:tc>
          <w:tcPr>
            <w:tcW w:w="3862" w:type="dxa"/>
            <w:tcBorders>
              <w:top w:val="single" w:sz="6" w:space="0" w:color="B2B2B2"/>
              <w:left w:val="single" w:sz="6" w:space="0" w:color="B2B2B2"/>
              <w:bottom w:val="single" w:sz="6" w:space="0" w:color="B2B2B2"/>
              <w:right w:val="single" w:sz="6" w:space="0" w:color="B2B2B2"/>
            </w:tcBorders>
            <w:shd w:val="clear" w:color="auto" w:fill="DAE6F8"/>
            <w:noWrap/>
            <w:tcMar>
              <w:top w:w="15" w:type="dxa"/>
              <w:left w:w="15" w:type="dxa"/>
              <w:bottom w:w="15" w:type="dxa"/>
              <w:right w:w="75" w:type="dxa"/>
            </w:tcMar>
            <w:vAlign w:val="center"/>
            <w:hideMark/>
          </w:tcPr>
          <w:p w14:paraId="6CE00C79" w14:textId="77777777" w:rsidR="00D1585B" w:rsidRPr="00D1585B" w:rsidRDefault="00D1585B" w:rsidP="00D1585B">
            <w:pPr>
              <w:spacing w:after="0" w:line="240" w:lineRule="auto"/>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Percentage of institutional deliveries</w:t>
            </w:r>
          </w:p>
        </w:tc>
        <w:tc>
          <w:tcPr>
            <w:tcW w:w="144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6A4B79BC"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232.6</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6C8A2432"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245.6</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0A9B7885"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8.1</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096B3E97"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11.1</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724CEA23"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35</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0BBF4544"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33.5</w:t>
            </w:r>
          </w:p>
        </w:tc>
      </w:tr>
      <w:tr w:rsidR="00D1585B" w:rsidRPr="00D1585B" w14:paraId="7E8EC8F1" w14:textId="77777777" w:rsidTr="00497F65">
        <w:trPr>
          <w:trHeight w:val="345"/>
        </w:trPr>
        <w:tc>
          <w:tcPr>
            <w:tcW w:w="3862" w:type="dxa"/>
            <w:tcBorders>
              <w:top w:val="single" w:sz="6" w:space="0" w:color="B2B2B2"/>
              <w:left w:val="single" w:sz="6" w:space="0" w:color="B2B2B2"/>
              <w:bottom w:val="single" w:sz="6" w:space="0" w:color="B2B2B2"/>
              <w:right w:val="single" w:sz="6" w:space="0" w:color="B2B2B2"/>
            </w:tcBorders>
            <w:shd w:val="clear" w:color="auto" w:fill="DAE6F8"/>
            <w:noWrap/>
            <w:tcMar>
              <w:top w:w="15" w:type="dxa"/>
              <w:left w:w="15" w:type="dxa"/>
              <w:bottom w:w="15" w:type="dxa"/>
              <w:right w:w="75" w:type="dxa"/>
            </w:tcMar>
            <w:vAlign w:val="center"/>
            <w:hideMark/>
          </w:tcPr>
          <w:p w14:paraId="4437E1EA" w14:textId="77777777" w:rsidR="00D1585B" w:rsidRPr="00D1585B" w:rsidRDefault="00D1585B" w:rsidP="00D1585B">
            <w:pPr>
              <w:spacing w:after="0" w:line="240" w:lineRule="auto"/>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Percentage of pregnant women who had four ANC checkups as per protocol (4th, 6th, 8th and 9th month)</w:t>
            </w:r>
          </w:p>
        </w:tc>
        <w:tc>
          <w:tcPr>
            <w:tcW w:w="144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2EE2ADD8"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43.6</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4933F728"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59.7</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699DA281"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18</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5F701B0F"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24.2</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6ACAF360"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64.7</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06E79D6B"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54.1</w:t>
            </w:r>
          </w:p>
        </w:tc>
      </w:tr>
      <w:tr w:rsidR="00D1585B" w:rsidRPr="00D1585B" w14:paraId="66DD9000" w14:textId="77777777" w:rsidTr="00497F65">
        <w:trPr>
          <w:trHeight w:val="345"/>
        </w:trPr>
        <w:tc>
          <w:tcPr>
            <w:tcW w:w="3862" w:type="dxa"/>
            <w:tcBorders>
              <w:top w:val="single" w:sz="6" w:space="0" w:color="B2B2B2"/>
              <w:left w:val="single" w:sz="6" w:space="0" w:color="B2B2B2"/>
              <w:bottom w:val="single" w:sz="6" w:space="0" w:color="B2B2B2"/>
              <w:right w:val="single" w:sz="6" w:space="0" w:color="B2B2B2"/>
            </w:tcBorders>
            <w:shd w:val="clear" w:color="auto" w:fill="DAE6F8"/>
            <w:noWrap/>
            <w:tcMar>
              <w:top w:w="15" w:type="dxa"/>
              <w:left w:w="15" w:type="dxa"/>
              <w:bottom w:w="15" w:type="dxa"/>
              <w:right w:w="75" w:type="dxa"/>
            </w:tcMar>
            <w:vAlign w:val="center"/>
            <w:hideMark/>
          </w:tcPr>
          <w:p w14:paraId="46BFB2CC" w14:textId="77777777" w:rsidR="00D1585B" w:rsidRPr="00D1585B" w:rsidRDefault="00D1585B" w:rsidP="00D1585B">
            <w:pPr>
              <w:spacing w:after="0" w:line="240" w:lineRule="auto"/>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Percentage of women who had four ANC check-ups as per protocol (4th, 6th, 8th and 9th months) and delivered in a health facility)</w:t>
            </w:r>
          </w:p>
        </w:tc>
        <w:tc>
          <w:tcPr>
            <w:tcW w:w="144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433B0FA8"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43.6</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4BD467D0"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59.7</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2E9F70DA"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18</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35B93051"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24.2</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1C7F5417"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64.7</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5BC9C6D4"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54.1</w:t>
            </w:r>
          </w:p>
        </w:tc>
      </w:tr>
      <w:tr w:rsidR="00D1585B" w:rsidRPr="00D1585B" w14:paraId="0A99D5AB" w14:textId="77777777" w:rsidTr="00497F65">
        <w:trPr>
          <w:trHeight w:val="345"/>
        </w:trPr>
        <w:tc>
          <w:tcPr>
            <w:tcW w:w="3862" w:type="dxa"/>
            <w:tcBorders>
              <w:top w:val="single" w:sz="6" w:space="0" w:color="B2B2B2"/>
              <w:left w:val="single" w:sz="6" w:space="0" w:color="B2B2B2"/>
              <w:bottom w:val="single" w:sz="6" w:space="0" w:color="B2B2B2"/>
              <w:right w:val="single" w:sz="6" w:space="0" w:color="B2B2B2"/>
            </w:tcBorders>
            <w:shd w:val="clear" w:color="auto" w:fill="DAE6F8"/>
            <w:noWrap/>
            <w:tcMar>
              <w:top w:w="15" w:type="dxa"/>
              <w:left w:w="15" w:type="dxa"/>
              <w:bottom w:w="15" w:type="dxa"/>
              <w:right w:w="75" w:type="dxa"/>
            </w:tcMar>
            <w:vAlign w:val="center"/>
            <w:hideMark/>
          </w:tcPr>
          <w:p w14:paraId="5CEA39CC" w14:textId="77777777" w:rsidR="00D1585B" w:rsidRPr="00D1585B" w:rsidRDefault="00D1585B" w:rsidP="00D1585B">
            <w:pPr>
              <w:spacing w:after="0" w:line="240" w:lineRule="auto"/>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Percentage of women who had 3 PNC check-ups as per protocol (1st within 24 hours, 2nd within 72 hours and 3rd within 7 days of delivery)</w:t>
            </w:r>
          </w:p>
        </w:tc>
        <w:tc>
          <w:tcPr>
            <w:tcW w:w="144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20B8333C"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4.3</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55923C65"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3.9</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6623BFFD"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4.5</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048929D3"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13.1</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1D16401F"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21.9</w:t>
            </w:r>
          </w:p>
        </w:tc>
        <w:tc>
          <w:tcPr>
            <w:tcW w:w="810" w:type="dxa"/>
            <w:tcBorders>
              <w:top w:val="single" w:sz="6" w:space="0" w:color="B2B2B2"/>
              <w:left w:val="single" w:sz="6" w:space="0" w:color="B2B2B2"/>
              <w:bottom w:val="single" w:sz="6" w:space="0" w:color="B2B2B2"/>
              <w:right w:val="single" w:sz="6" w:space="0" w:color="B2B2B2"/>
            </w:tcBorders>
            <w:shd w:val="clear" w:color="auto" w:fill="FFFFFF"/>
            <w:tcMar>
              <w:top w:w="15" w:type="dxa"/>
              <w:left w:w="15" w:type="dxa"/>
              <w:bottom w:w="15" w:type="dxa"/>
              <w:right w:w="75" w:type="dxa"/>
            </w:tcMar>
            <w:vAlign w:val="center"/>
            <w:hideMark/>
          </w:tcPr>
          <w:p w14:paraId="79A6AF23" w14:textId="77777777" w:rsidR="00D1585B" w:rsidRPr="00D1585B" w:rsidRDefault="00D1585B" w:rsidP="00D1585B">
            <w:pPr>
              <w:spacing w:after="0" w:line="240" w:lineRule="auto"/>
              <w:jc w:val="right"/>
              <w:rPr>
                <w:rFonts w:ascii="Helvetica" w:eastAsia="Times New Roman" w:hAnsi="Helvetica" w:cs="Helvetica"/>
                <w:color w:val="000000"/>
                <w:sz w:val="17"/>
                <w:szCs w:val="17"/>
                <w:lang w:bidi="ne-NP"/>
              </w:rPr>
            </w:pPr>
            <w:r w:rsidRPr="00D1585B">
              <w:rPr>
                <w:rFonts w:ascii="Helvetica" w:eastAsia="Times New Roman" w:hAnsi="Helvetica" w:cs="Helvetica"/>
                <w:color w:val="000000"/>
                <w:sz w:val="17"/>
                <w:szCs w:val="17"/>
                <w:lang w:bidi="ne-NP"/>
              </w:rPr>
              <w:t>18.4</w:t>
            </w:r>
          </w:p>
        </w:tc>
      </w:tr>
    </w:tbl>
    <w:p w14:paraId="4AA6AFA7" w14:textId="77777777" w:rsidR="00D1585B" w:rsidRDefault="00D1585B"/>
    <w:p w14:paraId="530D0138" w14:textId="1BD6FA9E" w:rsidR="004A4E25" w:rsidRPr="00081BBE" w:rsidRDefault="004A4E25" w:rsidP="00F93A3A">
      <w:pPr>
        <w:pStyle w:val="Heading2"/>
      </w:pPr>
      <w:r w:rsidRPr="00081BBE">
        <w:t xml:space="preserve">The </w:t>
      </w:r>
      <w:r w:rsidR="00081BBE" w:rsidRPr="00081BBE">
        <w:t xml:space="preserve">service availability and readiness </w:t>
      </w:r>
      <w:r w:rsidR="00F93A3A">
        <w:t>s</w:t>
      </w:r>
      <w:r w:rsidRPr="00081BBE">
        <w:t>urvey</w:t>
      </w:r>
    </w:p>
    <w:p w14:paraId="34F49D48" w14:textId="77777777" w:rsidR="00081BBE" w:rsidRDefault="00081BBE">
      <w:pPr>
        <w:rPr>
          <w:sz w:val="24"/>
          <w:szCs w:val="24"/>
        </w:rPr>
      </w:pPr>
      <w:r w:rsidRPr="00081BBE">
        <w:rPr>
          <w:sz w:val="24"/>
          <w:szCs w:val="24"/>
        </w:rPr>
        <w:t xml:space="preserve">To measure the service availability and readiness of the public and private facilities, a comprehensive survey in </w:t>
      </w:r>
      <w:r w:rsidR="000C1B1E">
        <w:rPr>
          <w:sz w:val="24"/>
          <w:szCs w:val="24"/>
        </w:rPr>
        <w:t xml:space="preserve">3 </w:t>
      </w:r>
      <w:r w:rsidRPr="00081BBE">
        <w:rPr>
          <w:sz w:val="24"/>
          <w:szCs w:val="24"/>
        </w:rPr>
        <w:t>selected municipalit</w:t>
      </w:r>
      <w:r w:rsidR="000C1B1E">
        <w:rPr>
          <w:sz w:val="24"/>
          <w:szCs w:val="24"/>
        </w:rPr>
        <w:t>ies (Madhyapur Thimi - Bhaktapur, Nepalgunj - Banke and Godawari - Kailali)</w:t>
      </w:r>
      <w:r w:rsidRPr="00081BBE">
        <w:rPr>
          <w:sz w:val="24"/>
          <w:szCs w:val="24"/>
        </w:rPr>
        <w:t xml:space="preserve"> was conducted.</w:t>
      </w:r>
      <w:r>
        <w:rPr>
          <w:sz w:val="24"/>
          <w:szCs w:val="24"/>
        </w:rPr>
        <w:t xml:space="preserve"> </w:t>
      </w:r>
      <w:r w:rsidR="00E75600">
        <w:rPr>
          <w:sz w:val="24"/>
          <w:szCs w:val="24"/>
        </w:rPr>
        <w:t>The objectives of the survey were to:</w:t>
      </w:r>
    </w:p>
    <w:p w14:paraId="2742A820" w14:textId="77777777" w:rsidR="00E75600" w:rsidRPr="00E75600" w:rsidRDefault="00E75600" w:rsidP="00E75600">
      <w:pPr>
        <w:pStyle w:val="ListParagraph"/>
        <w:numPr>
          <w:ilvl w:val="0"/>
          <w:numId w:val="2"/>
        </w:numPr>
        <w:spacing w:after="0"/>
        <w:rPr>
          <w:sz w:val="24"/>
          <w:szCs w:val="24"/>
        </w:rPr>
      </w:pPr>
      <w:r w:rsidRPr="00E75600">
        <w:rPr>
          <w:sz w:val="24"/>
          <w:szCs w:val="24"/>
        </w:rPr>
        <w:t>Assess the availability of basic services in health facilities</w:t>
      </w:r>
    </w:p>
    <w:p w14:paraId="4338ACB7" w14:textId="77777777" w:rsidR="00E75600" w:rsidRPr="00E75600" w:rsidRDefault="00E75600" w:rsidP="00E75600">
      <w:pPr>
        <w:pStyle w:val="ListParagraph"/>
        <w:numPr>
          <w:ilvl w:val="0"/>
          <w:numId w:val="2"/>
        </w:numPr>
        <w:spacing w:after="0"/>
        <w:rPr>
          <w:sz w:val="24"/>
          <w:szCs w:val="24"/>
        </w:rPr>
      </w:pPr>
      <w:r w:rsidRPr="00E75600">
        <w:rPr>
          <w:sz w:val="24"/>
          <w:szCs w:val="24"/>
        </w:rPr>
        <w:t xml:space="preserve">Assess the preparedness of health facilities to provide quality services </w:t>
      </w:r>
    </w:p>
    <w:p w14:paraId="7046C131" w14:textId="77777777" w:rsidR="00E75600" w:rsidRPr="00E75600" w:rsidRDefault="00E75600" w:rsidP="00E75600">
      <w:pPr>
        <w:pStyle w:val="ListParagraph"/>
        <w:numPr>
          <w:ilvl w:val="0"/>
          <w:numId w:val="2"/>
        </w:numPr>
        <w:spacing w:after="0"/>
        <w:rPr>
          <w:sz w:val="24"/>
          <w:szCs w:val="24"/>
        </w:rPr>
      </w:pPr>
      <w:r w:rsidRPr="00E75600">
        <w:rPr>
          <w:sz w:val="24"/>
          <w:szCs w:val="24"/>
        </w:rPr>
        <w:t>Provide baseline assessment for tracking future progress</w:t>
      </w:r>
    </w:p>
    <w:p w14:paraId="656E7766" w14:textId="77777777" w:rsidR="00E75600" w:rsidRPr="00E75600" w:rsidRDefault="00E75600" w:rsidP="00E75600">
      <w:pPr>
        <w:pStyle w:val="ListParagraph"/>
        <w:numPr>
          <w:ilvl w:val="0"/>
          <w:numId w:val="2"/>
        </w:numPr>
        <w:spacing w:after="0"/>
        <w:rPr>
          <w:sz w:val="24"/>
          <w:szCs w:val="24"/>
        </w:rPr>
      </w:pPr>
      <w:r w:rsidRPr="00E75600">
        <w:rPr>
          <w:sz w:val="24"/>
          <w:szCs w:val="24"/>
        </w:rPr>
        <w:t>Identify gaps in support services and process used to provide health service that may limit the ability of facilities to provide quality service</w:t>
      </w:r>
    </w:p>
    <w:p w14:paraId="59E774F8" w14:textId="77777777" w:rsidR="00E75600" w:rsidRPr="00E75600" w:rsidRDefault="00E75600" w:rsidP="00E75600">
      <w:pPr>
        <w:pStyle w:val="ListParagraph"/>
        <w:numPr>
          <w:ilvl w:val="0"/>
          <w:numId w:val="2"/>
        </w:numPr>
        <w:spacing w:after="0"/>
        <w:rPr>
          <w:sz w:val="24"/>
          <w:szCs w:val="24"/>
        </w:rPr>
      </w:pPr>
      <w:r w:rsidRPr="00E75600">
        <w:rPr>
          <w:sz w:val="24"/>
          <w:szCs w:val="24"/>
        </w:rPr>
        <w:t>Provide a comprehensive body of information on the performance of different types of health facilities</w:t>
      </w:r>
    </w:p>
    <w:p w14:paraId="1F7F4408" w14:textId="77777777" w:rsidR="00E75600" w:rsidRPr="00E75600" w:rsidRDefault="00E75600" w:rsidP="00E75600">
      <w:pPr>
        <w:pStyle w:val="ListParagraph"/>
        <w:numPr>
          <w:ilvl w:val="0"/>
          <w:numId w:val="2"/>
        </w:numPr>
        <w:spacing w:after="0"/>
        <w:rPr>
          <w:sz w:val="24"/>
          <w:szCs w:val="24"/>
        </w:rPr>
      </w:pPr>
      <w:r w:rsidRPr="00E75600">
        <w:rPr>
          <w:sz w:val="24"/>
          <w:szCs w:val="24"/>
        </w:rPr>
        <w:t>To map the existing public and private health institutions, in three municipalities</w:t>
      </w:r>
    </w:p>
    <w:p w14:paraId="7061BCFF" w14:textId="77777777" w:rsidR="00E75600" w:rsidRDefault="00E75600" w:rsidP="00E75600">
      <w:pPr>
        <w:rPr>
          <w:sz w:val="24"/>
          <w:szCs w:val="24"/>
        </w:rPr>
      </w:pPr>
    </w:p>
    <w:p w14:paraId="709C7786" w14:textId="77777777" w:rsidR="00E75600" w:rsidRDefault="00E75600" w:rsidP="00E75600">
      <w:pPr>
        <w:rPr>
          <w:sz w:val="24"/>
          <w:szCs w:val="24"/>
        </w:rPr>
      </w:pPr>
      <w:r>
        <w:rPr>
          <w:sz w:val="24"/>
          <w:szCs w:val="24"/>
        </w:rPr>
        <w:t>The following focus area were covered in the survey:</w:t>
      </w:r>
    </w:p>
    <w:p w14:paraId="48A8530D" w14:textId="77777777" w:rsidR="00A11330" w:rsidRPr="00E75600" w:rsidRDefault="00DC0C89" w:rsidP="00E75600">
      <w:pPr>
        <w:numPr>
          <w:ilvl w:val="0"/>
          <w:numId w:val="3"/>
        </w:numPr>
        <w:spacing w:after="0"/>
        <w:rPr>
          <w:sz w:val="24"/>
          <w:szCs w:val="24"/>
        </w:rPr>
      </w:pPr>
      <w:r w:rsidRPr="00E75600">
        <w:rPr>
          <w:sz w:val="24"/>
          <w:szCs w:val="24"/>
        </w:rPr>
        <w:t>Budget</w:t>
      </w:r>
    </w:p>
    <w:p w14:paraId="7C870265" w14:textId="77777777" w:rsidR="00A11330" w:rsidRPr="00E75600" w:rsidRDefault="00DC0C89" w:rsidP="00E75600">
      <w:pPr>
        <w:numPr>
          <w:ilvl w:val="0"/>
          <w:numId w:val="3"/>
        </w:numPr>
        <w:spacing w:after="0"/>
        <w:rPr>
          <w:sz w:val="24"/>
          <w:szCs w:val="24"/>
        </w:rPr>
      </w:pPr>
      <w:r w:rsidRPr="00E75600">
        <w:rPr>
          <w:sz w:val="24"/>
          <w:szCs w:val="24"/>
        </w:rPr>
        <w:t>Human resources</w:t>
      </w:r>
    </w:p>
    <w:p w14:paraId="6273D360" w14:textId="77777777" w:rsidR="00A11330" w:rsidRPr="00E75600" w:rsidRDefault="00DC0C89" w:rsidP="00E75600">
      <w:pPr>
        <w:numPr>
          <w:ilvl w:val="0"/>
          <w:numId w:val="3"/>
        </w:numPr>
        <w:spacing w:after="0"/>
        <w:rPr>
          <w:sz w:val="24"/>
          <w:szCs w:val="24"/>
        </w:rPr>
      </w:pPr>
      <w:r w:rsidRPr="00E75600">
        <w:rPr>
          <w:sz w:val="24"/>
          <w:szCs w:val="24"/>
        </w:rPr>
        <w:t>Service delivery</w:t>
      </w:r>
    </w:p>
    <w:p w14:paraId="1080FF4A" w14:textId="77777777" w:rsidR="00A11330" w:rsidRPr="00E75600" w:rsidRDefault="00DC0C89" w:rsidP="00E75600">
      <w:pPr>
        <w:numPr>
          <w:ilvl w:val="0"/>
          <w:numId w:val="3"/>
        </w:numPr>
        <w:spacing w:after="0"/>
        <w:rPr>
          <w:sz w:val="24"/>
          <w:szCs w:val="24"/>
        </w:rPr>
      </w:pPr>
      <w:r w:rsidRPr="00E75600">
        <w:rPr>
          <w:sz w:val="24"/>
          <w:szCs w:val="24"/>
        </w:rPr>
        <w:t>Information management</w:t>
      </w:r>
    </w:p>
    <w:p w14:paraId="3FCE8590" w14:textId="77777777" w:rsidR="00A11330" w:rsidRPr="00E75600" w:rsidRDefault="00DC0C89" w:rsidP="00E75600">
      <w:pPr>
        <w:numPr>
          <w:ilvl w:val="0"/>
          <w:numId w:val="3"/>
        </w:numPr>
        <w:spacing w:after="0"/>
        <w:rPr>
          <w:sz w:val="24"/>
          <w:szCs w:val="24"/>
        </w:rPr>
      </w:pPr>
      <w:r w:rsidRPr="00E75600">
        <w:rPr>
          <w:sz w:val="24"/>
          <w:szCs w:val="24"/>
        </w:rPr>
        <w:t>Governance</w:t>
      </w:r>
    </w:p>
    <w:p w14:paraId="70E6AA52" w14:textId="77777777" w:rsidR="00A11330" w:rsidRPr="00E75600" w:rsidRDefault="00DC0C89" w:rsidP="00E75600">
      <w:pPr>
        <w:numPr>
          <w:ilvl w:val="0"/>
          <w:numId w:val="3"/>
        </w:numPr>
        <w:spacing w:after="0"/>
        <w:rPr>
          <w:sz w:val="24"/>
          <w:szCs w:val="24"/>
        </w:rPr>
      </w:pPr>
      <w:r w:rsidRPr="00E75600">
        <w:rPr>
          <w:sz w:val="24"/>
          <w:szCs w:val="24"/>
        </w:rPr>
        <w:lastRenderedPageBreak/>
        <w:t>Logistics supply &amp; Infrastructure</w:t>
      </w:r>
    </w:p>
    <w:p w14:paraId="5C20F0CA" w14:textId="77777777" w:rsidR="00E75600" w:rsidRDefault="00E75600" w:rsidP="00E75600">
      <w:pPr>
        <w:rPr>
          <w:sz w:val="24"/>
          <w:szCs w:val="24"/>
        </w:rPr>
      </w:pPr>
    </w:p>
    <w:p w14:paraId="76C26FE3" w14:textId="77777777" w:rsidR="00E75600" w:rsidRDefault="00E75600" w:rsidP="00E75600">
      <w:pPr>
        <w:rPr>
          <w:sz w:val="24"/>
          <w:szCs w:val="24"/>
        </w:rPr>
      </w:pPr>
      <w:r>
        <w:rPr>
          <w:sz w:val="24"/>
          <w:szCs w:val="24"/>
        </w:rPr>
        <w:t>The survey was designed to collect the data on six priority areas as follows:</w:t>
      </w:r>
    </w:p>
    <w:p w14:paraId="1C4B56FF" w14:textId="77777777" w:rsidR="00E75600" w:rsidRPr="00E75600" w:rsidRDefault="00E75600" w:rsidP="00E75600">
      <w:pPr>
        <w:pStyle w:val="ListParagraph"/>
        <w:numPr>
          <w:ilvl w:val="0"/>
          <w:numId w:val="4"/>
        </w:numPr>
        <w:rPr>
          <w:sz w:val="24"/>
          <w:szCs w:val="24"/>
        </w:rPr>
      </w:pPr>
      <w:r w:rsidRPr="00E75600">
        <w:rPr>
          <w:sz w:val="24"/>
          <w:szCs w:val="24"/>
        </w:rPr>
        <w:t>Service Delivery</w:t>
      </w:r>
    </w:p>
    <w:p w14:paraId="11552E1C" w14:textId="77777777" w:rsidR="00E75600" w:rsidRPr="00E75600" w:rsidRDefault="00E75600" w:rsidP="00E75600">
      <w:pPr>
        <w:pStyle w:val="ListParagraph"/>
        <w:numPr>
          <w:ilvl w:val="1"/>
          <w:numId w:val="4"/>
        </w:numPr>
        <w:rPr>
          <w:sz w:val="24"/>
          <w:szCs w:val="24"/>
        </w:rPr>
      </w:pPr>
      <w:r w:rsidRPr="00E75600">
        <w:rPr>
          <w:sz w:val="24"/>
          <w:szCs w:val="24"/>
        </w:rPr>
        <w:t>Service Availability</w:t>
      </w:r>
    </w:p>
    <w:p w14:paraId="0BD6A7DD" w14:textId="77777777" w:rsidR="00E75600" w:rsidRPr="00E75600" w:rsidRDefault="00E75600" w:rsidP="00E75600">
      <w:pPr>
        <w:pStyle w:val="ListParagraph"/>
        <w:numPr>
          <w:ilvl w:val="2"/>
          <w:numId w:val="4"/>
        </w:numPr>
        <w:rPr>
          <w:sz w:val="24"/>
          <w:szCs w:val="24"/>
        </w:rPr>
      </w:pPr>
      <w:r w:rsidRPr="00E75600">
        <w:rPr>
          <w:sz w:val="24"/>
          <w:szCs w:val="24"/>
        </w:rPr>
        <w:t>Source of water</w:t>
      </w:r>
    </w:p>
    <w:p w14:paraId="44F28BE5" w14:textId="77777777" w:rsidR="00E75600" w:rsidRDefault="00E75600" w:rsidP="00E75600">
      <w:pPr>
        <w:pStyle w:val="ListParagraph"/>
        <w:numPr>
          <w:ilvl w:val="2"/>
          <w:numId w:val="4"/>
        </w:numPr>
        <w:rPr>
          <w:sz w:val="24"/>
          <w:szCs w:val="24"/>
        </w:rPr>
      </w:pPr>
      <w:r w:rsidRPr="00E75600">
        <w:rPr>
          <w:sz w:val="24"/>
          <w:szCs w:val="24"/>
        </w:rPr>
        <w:t>Power supply</w:t>
      </w:r>
    </w:p>
    <w:p w14:paraId="27EDBC64" w14:textId="77777777" w:rsidR="00E75600" w:rsidRDefault="00E75600" w:rsidP="00E75600">
      <w:pPr>
        <w:pStyle w:val="ListParagraph"/>
        <w:numPr>
          <w:ilvl w:val="2"/>
          <w:numId w:val="4"/>
        </w:numPr>
        <w:rPr>
          <w:sz w:val="24"/>
          <w:szCs w:val="24"/>
        </w:rPr>
      </w:pPr>
      <w:r>
        <w:rPr>
          <w:sz w:val="24"/>
          <w:szCs w:val="24"/>
        </w:rPr>
        <w:t>Basic supplies and equipment</w:t>
      </w:r>
    </w:p>
    <w:p w14:paraId="666106E4" w14:textId="77777777" w:rsidR="00E75600" w:rsidRDefault="00E75600" w:rsidP="00E75600">
      <w:pPr>
        <w:pStyle w:val="ListParagraph"/>
        <w:numPr>
          <w:ilvl w:val="2"/>
          <w:numId w:val="4"/>
        </w:numPr>
        <w:rPr>
          <w:sz w:val="24"/>
          <w:szCs w:val="24"/>
        </w:rPr>
      </w:pPr>
      <w:r>
        <w:rPr>
          <w:sz w:val="24"/>
          <w:szCs w:val="24"/>
        </w:rPr>
        <w:t>Client Waiting area and examination room</w:t>
      </w:r>
    </w:p>
    <w:p w14:paraId="33524C5E" w14:textId="77777777" w:rsidR="00E75600" w:rsidRDefault="00E75600" w:rsidP="00E75600">
      <w:pPr>
        <w:pStyle w:val="ListParagraph"/>
        <w:numPr>
          <w:ilvl w:val="2"/>
          <w:numId w:val="4"/>
        </w:numPr>
        <w:rPr>
          <w:sz w:val="24"/>
          <w:szCs w:val="24"/>
        </w:rPr>
      </w:pPr>
      <w:r>
        <w:rPr>
          <w:sz w:val="24"/>
          <w:szCs w:val="24"/>
        </w:rPr>
        <w:t>General facility level cleanliness</w:t>
      </w:r>
    </w:p>
    <w:p w14:paraId="77488F6E" w14:textId="77777777" w:rsidR="00E75600" w:rsidRDefault="00E75600" w:rsidP="00E75600">
      <w:pPr>
        <w:pStyle w:val="ListParagraph"/>
        <w:numPr>
          <w:ilvl w:val="2"/>
          <w:numId w:val="4"/>
        </w:numPr>
        <w:rPr>
          <w:sz w:val="24"/>
          <w:szCs w:val="24"/>
        </w:rPr>
      </w:pPr>
      <w:r>
        <w:rPr>
          <w:sz w:val="24"/>
          <w:szCs w:val="24"/>
        </w:rPr>
        <w:t>Waste Management</w:t>
      </w:r>
    </w:p>
    <w:p w14:paraId="35B374A2" w14:textId="77777777" w:rsidR="00E75600" w:rsidRDefault="00E75600" w:rsidP="00E75600">
      <w:pPr>
        <w:pStyle w:val="ListParagraph"/>
        <w:numPr>
          <w:ilvl w:val="1"/>
          <w:numId w:val="4"/>
        </w:numPr>
        <w:rPr>
          <w:sz w:val="24"/>
          <w:szCs w:val="24"/>
        </w:rPr>
      </w:pPr>
      <w:r>
        <w:rPr>
          <w:sz w:val="24"/>
          <w:szCs w:val="24"/>
        </w:rPr>
        <w:t>Service Readiness</w:t>
      </w:r>
      <w:r w:rsidR="000C1B1E">
        <w:rPr>
          <w:sz w:val="24"/>
          <w:szCs w:val="24"/>
        </w:rPr>
        <w:t xml:space="preserve"> (ready to provide basic services)</w:t>
      </w:r>
    </w:p>
    <w:p w14:paraId="408E467D" w14:textId="77777777" w:rsidR="00E75600" w:rsidRDefault="00E75600" w:rsidP="00E75600">
      <w:pPr>
        <w:pStyle w:val="ListParagraph"/>
        <w:numPr>
          <w:ilvl w:val="2"/>
          <w:numId w:val="4"/>
        </w:numPr>
        <w:rPr>
          <w:sz w:val="24"/>
          <w:szCs w:val="24"/>
        </w:rPr>
      </w:pPr>
      <w:r>
        <w:rPr>
          <w:sz w:val="24"/>
          <w:szCs w:val="24"/>
        </w:rPr>
        <w:t>Immunization</w:t>
      </w:r>
    </w:p>
    <w:p w14:paraId="2D3308DF" w14:textId="77777777" w:rsidR="00E75600" w:rsidRDefault="00E75600" w:rsidP="00E75600">
      <w:pPr>
        <w:pStyle w:val="ListParagraph"/>
        <w:numPr>
          <w:ilvl w:val="2"/>
          <w:numId w:val="4"/>
        </w:numPr>
        <w:rPr>
          <w:sz w:val="24"/>
          <w:szCs w:val="24"/>
        </w:rPr>
      </w:pPr>
      <w:r>
        <w:rPr>
          <w:sz w:val="24"/>
          <w:szCs w:val="24"/>
        </w:rPr>
        <w:t>Growth monitoring</w:t>
      </w:r>
    </w:p>
    <w:p w14:paraId="19E8163A" w14:textId="77777777" w:rsidR="00E75600" w:rsidRDefault="00E75600" w:rsidP="00E75600">
      <w:pPr>
        <w:pStyle w:val="ListParagraph"/>
        <w:numPr>
          <w:ilvl w:val="2"/>
          <w:numId w:val="4"/>
        </w:numPr>
        <w:rPr>
          <w:sz w:val="24"/>
          <w:szCs w:val="24"/>
        </w:rPr>
      </w:pPr>
      <w:r>
        <w:rPr>
          <w:sz w:val="24"/>
          <w:szCs w:val="24"/>
        </w:rPr>
        <w:t>Child curative care services</w:t>
      </w:r>
    </w:p>
    <w:p w14:paraId="77A95FEC" w14:textId="77777777" w:rsidR="00E75600" w:rsidRDefault="00E75600" w:rsidP="00E75600">
      <w:pPr>
        <w:pStyle w:val="ListParagraph"/>
        <w:numPr>
          <w:ilvl w:val="2"/>
          <w:numId w:val="4"/>
        </w:numPr>
        <w:rPr>
          <w:sz w:val="24"/>
          <w:szCs w:val="24"/>
        </w:rPr>
      </w:pPr>
      <w:r>
        <w:rPr>
          <w:sz w:val="24"/>
          <w:szCs w:val="24"/>
        </w:rPr>
        <w:t>Family planning</w:t>
      </w:r>
    </w:p>
    <w:p w14:paraId="37D1CB0F" w14:textId="77777777" w:rsidR="00E75600" w:rsidRDefault="00E75600" w:rsidP="00E75600">
      <w:pPr>
        <w:pStyle w:val="ListParagraph"/>
        <w:numPr>
          <w:ilvl w:val="2"/>
          <w:numId w:val="4"/>
        </w:numPr>
        <w:rPr>
          <w:sz w:val="24"/>
          <w:szCs w:val="24"/>
        </w:rPr>
      </w:pPr>
      <w:r>
        <w:rPr>
          <w:sz w:val="24"/>
          <w:szCs w:val="24"/>
        </w:rPr>
        <w:t>Antenatal care</w:t>
      </w:r>
    </w:p>
    <w:p w14:paraId="0667CEB4" w14:textId="77777777" w:rsidR="00E75600" w:rsidRDefault="00E75600" w:rsidP="00E75600">
      <w:pPr>
        <w:pStyle w:val="ListParagraph"/>
        <w:numPr>
          <w:ilvl w:val="2"/>
          <w:numId w:val="4"/>
        </w:numPr>
        <w:rPr>
          <w:sz w:val="24"/>
          <w:szCs w:val="24"/>
        </w:rPr>
      </w:pPr>
      <w:r>
        <w:rPr>
          <w:sz w:val="24"/>
          <w:szCs w:val="24"/>
        </w:rPr>
        <w:t>Delivery and newborn care</w:t>
      </w:r>
    </w:p>
    <w:p w14:paraId="5771711B" w14:textId="77777777" w:rsidR="00E75600" w:rsidRDefault="00E75600" w:rsidP="00E75600">
      <w:pPr>
        <w:pStyle w:val="ListParagraph"/>
        <w:numPr>
          <w:ilvl w:val="0"/>
          <w:numId w:val="4"/>
        </w:numPr>
        <w:rPr>
          <w:sz w:val="24"/>
          <w:szCs w:val="24"/>
        </w:rPr>
      </w:pPr>
      <w:r>
        <w:rPr>
          <w:sz w:val="24"/>
          <w:szCs w:val="24"/>
        </w:rPr>
        <w:t>Health Workforce</w:t>
      </w:r>
    </w:p>
    <w:p w14:paraId="360D0EF9" w14:textId="77777777" w:rsidR="00E75600" w:rsidRDefault="00E75600" w:rsidP="00E75600">
      <w:pPr>
        <w:pStyle w:val="ListParagraph"/>
        <w:numPr>
          <w:ilvl w:val="1"/>
          <w:numId w:val="4"/>
        </w:numPr>
        <w:rPr>
          <w:sz w:val="24"/>
          <w:szCs w:val="24"/>
        </w:rPr>
      </w:pPr>
      <w:r>
        <w:rPr>
          <w:sz w:val="24"/>
          <w:szCs w:val="24"/>
        </w:rPr>
        <w:t>Staffing</w:t>
      </w:r>
    </w:p>
    <w:p w14:paraId="2E042B18" w14:textId="77777777" w:rsidR="00E75600" w:rsidRDefault="00E75600" w:rsidP="00E75600">
      <w:pPr>
        <w:pStyle w:val="ListParagraph"/>
        <w:numPr>
          <w:ilvl w:val="1"/>
          <w:numId w:val="4"/>
        </w:numPr>
        <w:rPr>
          <w:sz w:val="24"/>
          <w:szCs w:val="24"/>
        </w:rPr>
      </w:pPr>
      <w:r>
        <w:rPr>
          <w:sz w:val="24"/>
          <w:szCs w:val="24"/>
        </w:rPr>
        <w:t>Absenteeism</w:t>
      </w:r>
    </w:p>
    <w:p w14:paraId="70F5F9E1" w14:textId="77777777" w:rsidR="00E75600" w:rsidRDefault="00E75600" w:rsidP="00E75600">
      <w:pPr>
        <w:pStyle w:val="ListParagraph"/>
        <w:numPr>
          <w:ilvl w:val="0"/>
          <w:numId w:val="4"/>
        </w:numPr>
        <w:rPr>
          <w:sz w:val="24"/>
          <w:szCs w:val="24"/>
        </w:rPr>
      </w:pPr>
      <w:r>
        <w:rPr>
          <w:sz w:val="24"/>
          <w:szCs w:val="24"/>
        </w:rPr>
        <w:t>Health Information System</w:t>
      </w:r>
    </w:p>
    <w:p w14:paraId="2780157D" w14:textId="77777777" w:rsidR="00E75600" w:rsidRDefault="00E75600" w:rsidP="00E75600">
      <w:pPr>
        <w:pStyle w:val="ListParagraph"/>
        <w:numPr>
          <w:ilvl w:val="1"/>
          <w:numId w:val="4"/>
        </w:numPr>
        <w:rPr>
          <w:sz w:val="24"/>
          <w:szCs w:val="24"/>
        </w:rPr>
      </w:pPr>
      <w:r>
        <w:rPr>
          <w:sz w:val="24"/>
          <w:szCs w:val="24"/>
        </w:rPr>
        <w:t>HMIS</w:t>
      </w:r>
    </w:p>
    <w:p w14:paraId="77C533D9" w14:textId="77777777" w:rsidR="00E75600" w:rsidRDefault="00E75600" w:rsidP="00E75600">
      <w:pPr>
        <w:pStyle w:val="ListParagraph"/>
        <w:numPr>
          <w:ilvl w:val="1"/>
          <w:numId w:val="4"/>
        </w:numPr>
        <w:rPr>
          <w:sz w:val="24"/>
          <w:szCs w:val="24"/>
        </w:rPr>
      </w:pPr>
      <w:r>
        <w:rPr>
          <w:sz w:val="24"/>
          <w:szCs w:val="24"/>
        </w:rPr>
        <w:t>Health Statistics</w:t>
      </w:r>
    </w:p>
    <w:p w14:paraId="63630B0F" w14:textId="77777777" w:rsidR="00E75600" w:rsidRDefault="00E75600" w:rsidP="00E75600">
      <w:pPr>
        <w:pStyle w:val="ListParagraph"/>
        <w:numPr>
          <w:ilvl w:val="0"/>
          <w:numId w:val="4"/>
        </w:numPr>
        <w:rPr>
          <w:sz w:val="24"/>
          <w:szCs w:val="24"/>
        </w:rPr>
      </w:pPr>
      <w:r>
        <w:rPr>
          <w:sz w:val="24"/>
          <w:szCs w:val="24"/>
        </w:rPr>
        <w:t>Access to essential Medicine</w:t>
      </w:r>
    </w:p>
    <w:p w14:paraId="69AC28C5" w14:textId="77777777" w:rsidR="00E75600" w:rsidRDefault="00E75600" w:rsidP="00E75600">
      <w:pPr>
        <w:pStyle w:val="ListParagraph"/>
        <w:numPr>
          <w:ilvl w:val="0"/>
          <w:numId w:val="4"/>
        </w:numPr>
        <w:rPr>
          <w:sz w:val="24"/>
          <w:szCs w:val="24"/>
        </w:rPr>
      </w:pPr>
      <w:r>
        <w:rPr>
          <w:sz w:val="24"/>
          <w:szCs w:val="24"/>
        </w:rPr>
        <w:t>Finance – Income of the facility</w:t>
      </w:r>
    </w:p>
    <w:p w14:paraId="0CA5041B" w14:textId="77777777" w:rsidR="00E75600" w:rsidRDefault="00E75600" w:rsidP="00E75600">
      <w:pPr>
        <w:pStyle w:val="ListParagraph"/>
        <w:numPr>
          <w:ilvl w:val="0"/>
          <w:numId w:val="4"/>
        </w:numPr>
        <w:rPr>
          <w:sz w:val="24"/>
          <w:szCs w:val="24"/>
        </w:rPr>
      </w:pPr>
      <w:r>
        <w:rPr>
          <w:sz w:val="24"/>
          <w:szCs w:val="24"/>
        </w:rPr>
        <w:t>Leadership/Governance</w:t>
      </w:r>
    </w:p>
    <w:p w14:paraId="319B40EC" w14:textId="77777777" w:rsidR="00E75600" w:rsidRDefault="00E75600" w:rsidP="00E75600">
      <w:pPr>
        <w:pStyle w:val="ListParagraph"/>
        <w:numPr>
          <w:ilvl w:val="1"/>
          <w:numId w:val="4"/>
        </w:numPr>
        <w:rPr>
          <w:sz w:val="24"/>
          <w:szCs w:val="24"/>
        </w:rPr>
      </w:pPr>
      <w:r>
        <w:rPr>
          <w:sz w:val="24"/>
          <w:szCs w:val="24"/>
        </w:rPr>
        <w:t>Management Meetings</w:t>
      </w:r>
    </w:p>
    <w:p w14:paraId="2C1671A8" w14:textId="77777777" w:rsidR="00E75600" w:rsidRPr="00E75600" w:rsidRDefault="00E75600" w:rsidP="00E75600">
      <w:pPr>
        <w:pStyle w:val="ListParagraph"/>
        <w:numPr>
          <w:ilvl w:val="1"/>
          <w:numId w:val="4"/>
        </w:numPr>
        <w:rPr>
          <w:sz w:val="24"/>
          <w:szCs w:val="24"/>
        </w:rPr>
      </w:pPr>
      <w:r>
        <w:rPr>
          <w:sz w:val="24"/>
          <w:szCs w:val="24"/>
        </w:rPr>
        <w:t>Supervision</w:t>
      </w:r>
    </w:p>
    <w:p w14:paraId="7412FE4A" w14:textId="77777777" w:rsidR="00E75600" w:rsidRDefault="00E75600" w:rsidP="00E75600">
      <w:pPr>
        <w:rPr>
          <w:sz w:val="24"/>
          <w:szCs w:val="24"/>
        </w:rPr>
      </w:pPr>
    </w:p>
    <w:p w14:paraId="17B248EF" w14:textId="77777777" w:rsidR="000C1B1E" w:rsidRDefault="000C1B1E" w:rsidP="00E75600">
      <w:pPr>
        <w:rPr>
          <w:sz w:val="24"/>
          <w:szCs w:val="24"/>
        </w:rPr>
      </w:pPr>
      <w:r>
        <w:rPr>
          <w:sz w:val="24"/>
          <w:szCs w:val="24"/>
        </w:rPr>
        <w:t>The data was collected from 505 private and public health facilities in the selected municipalities</w:t>
      </w:r>
      <w:r w:rsidR="00A163D9">
        <w:rPr>
          <w:sz w:val="24"/>
          <w:szCs w:val="24"/>
        </w:rPr>
        <w:t>.</w:t>
      </w:r>
    </w:p>
    <w:p w14:paraId="2DA4A99B" w14:textId="77777777" w:rsidR="00A163D9" w:rsidRDefault="00A163D9" w:rsidP="00E75600">
      <w:pPr>
        <w:rPr>
          <w:sz w:val="24"/>
          <w:szCs w:val="24"/>
        </w:rPr>
      </w:pPr>
    </w:p>
    <w:p w14:paraId="400F404E" w14:textId="77777777" w:rsidR="00257CBE" w:rsidRDefault="00257CBE">
      <w:pPr>
        <w:rPr>
          <w:b/>
          <w:bCs/>
          <w:sz w:val="24"/>
          <w:szCs w:val="24"/>
        </w:rPr>
      </w:pPr>
      <w:r>
        <w:rPr>
          <w:b/>
          <w:bCs/>
          <w:sz w:val="24"/>
          <w:szCs w:val="24"/>
        </w:rPr>
        <w:br w:type="page"/>
      </w:r>
    </w:p>
    <w:p w14:paraId="210B5C4D" w14:textId="574DFEB3" w:rsidR="00A163D9" w:rsidRPr="00A163D9" w:rsidRDefault="00A163D9" w:rsidP="005878AF">
      <w:pPr>
        <w:pStyle w:val="Heading2"/>
      </w:pPr>
      <w:r w:rsidRPr="00A163D9">
        <w:lastRenderedPageBreak/>
        <w:t>The problem</w:t>
      </w:r>
      <w:r w:rsidR="005878AF">
        <w:t>s</w:t>
      </w:r>
    </w:p>
    <w:p w14:paraId="4BE0CA44" w14:textId="7ABAF06F" w:rsidR="00A163D9" w:rsidRDefault="00A163D9" w:rsidP="00BF2E71">
      <w:pPr>
        <w:pStyle w:val="Heading3"/>
      </w:pPr>
      <w:r>
        <w:t xml:space="preserve">Nepal has SDG targets to achieve, which is very challenging based on the </w:t>
      </w:r>
      <w:r w:rsidR="00BF2E71">
        <w:t>status</w:t>
      </w:r>
      <w:r>
        <w:t xml:space="preserve">. </w:t>
      </w:r>
    </w:p>
    <w:p w14:paraId="09BC79CF" w14:textId="77777777" w:rsidR="00A163D9" w:rsidRDefault="00A163D9" w:rsidP="00BF2E71">
      <w:pPr>
        <w:ind w:left="720"/>
        <w:rPr>
          <w:rFonts w:cstheme="minorHAnsi"/>
          <w:sz w:val="24"/>
          <w:szCs w:val="24"/>
        </w:rPr>
      </w:pPr>
      <w:r w:rsidRPr="00C1717E">
        <w:rPr>
          <w:rFonts w:cstheme="minorHAnsi"/>
          <w:b/>
          <w:bCs/>
          <w:sz w:val="24"/>
          <w:szCs w:val="24"/>
          <w:shd w:val="clear" w:color="auto" w:fill="FFFFFF"/>
        </w:rPr>
        <w:t>“Nepal will struggle to achieve SDGs and universal health coverage without ensuring quality health care, experts say”</w:t>
      </w:r>
      <w:r>
        <w:rPr>
          <w:rFonts w:cstheme="minorHAnsi"/>
          <w:b/>
          <w:bCs/>
          <w:sz w:val="24"/>
          <w:szCs w:val="24"/>
          <w:shd w:val="clear" w:color="auto" w:fill="FFFFFF"/>
        </w:rPr>
        <w:t xml:space="preserve"> </w:t>
      </w:r>
      <w:r w:rsidRPr="00C1717E">
        <w:rPr>
          <w:rFonts w:cstheme="minorHAnsi"/>
          <w:sz w:val="24"/>
          <w:szCs w:val="24"/>
          <w:shd w:val="clear" w:color="auto" w:fill="FFFFFF"/>
        </w:rPr>
        <w:t>– The Kathmandu Post – June 08 2019</w:t>
      </w:r>
    </w:p>
    <w:p w14:paraId="1E99AB48" w14:textId="77777777" w:rsidR="00A163D9" w:rsidRPr="00C1717E" w:rsidRDefault="00A163D9" w:rsidP="00BF2E71">
      <w:pPr>
        <w:ind w:left="720"/>
        <w:rPr>
          <w:rFonts w:cstheme="minorHAnsi"/>
          <w:b/>
          <w:bCs/>
          <w:sz w:val="24"/>
          <w:szCs w:val="24"/>
          <w:shd w:val="clear" w:color="auto" w:fill="FFFFFF"/>
        </w:rPr>
      </w:pPr>
      <w:r>
        <w:rPr>
          <w:rFonts w:cstheme="minorHAnsi"/>
          <w:b/>
          <w:bCs/>
          <w:sz w:val="24"/>
          <w:szCs w:val="24"/>
          <w:shd w:val="clear" w:color="auto" w:fill="FFFFFF"/>
        </w:rPr>
        <w:t>“</w:t>
      </w:r>
      <w:r w:rsidRPr="00C1717E">
        <w:rPr>
          <w:rFonts w:cstheme="minorHAnsi"/>
          <w:b/>
          <w:bCs/>
          <w:sz w:val="24"/>
          <w:szCs w:val="24"/>
          <w:shd w:val="clear" w:color="auto" w:fill="FFFFFF"/>
        </w:rPr>
        <w:t>Nepal needs to invest more to achieve the SDG targets by 2030</w:t>
      </w:r>
      <w:r>
        <w:rPr>
          <w:rFonts w:cstheme="minorHAnsi"/>
          <w:b/>
          <w:bCs/>
          <w:sz w:val="24"/>
          <w:szCs w:val="24"/>
          <w:shd w:val="clear" w:color="auto" w:fill="FFFFFF"/>
        </w:rPr>
        <w:t xml:space="preserve">” </w:t>
      </w:r>
      <w:r w:rsidRPr="00C1717E">
        <w:rPr>
          <w:rFonts w:cstheme="minorHAnsi"/>
          <w:sz w:val="24"/>
          <w:szCs w:val="24"/>
          <w:shd w:val="clear" w:color="auto" w:fill="FFFFFF"/>
        </w:rPr>
        <w:t>- UNDP Nepal – September 25 2018</w:t>
      </w:r>
    </w:p>
    <w:p w14:paraId="15DFBC33" w14:textId="3CBF55F5" w:rsidR="002049BA" w:rsidRDefault="002049BA" w:rsidP="00BF2E71">
      <w:pPr>
        <w:pStyle w:val="Heading3"/>
      </w:pPr>
      <w:r>
        <w:t>Indicators of good health are on a declining trend in Nepal</w:t>
      </w:r>
    </w:p>
    <w:p w14:paraId="084C9BA9" w14:textId="38C5C33D" w:rsidR="00A163D9" w:rsidRDefault="00BF2E71" w:rsidP="00BF2E71">
      <w:pPr>
        <w:pStyle w:val="Heading3"/>
      </w:pPr>
      <w:r>
        <w:t>Decision makers are not very aware of the evidence required for decision making</w:t>
      </w:r>
    </w:p>
    <w:p w14:paraId="19CD5EF8" w14:textId="77777777" w:rsidR="00BF2E71" w:rsidRPr="00BF2E71" w:rsidRDefault="00BF2E71" w:rsidP="00BF2E71"/>
    <w:p w14:paraId="7DFC6634" w14:textId="5EF57F1A" w:rsidR="00CB4207" w:rsidRPr="00CB4207" w:rsidRDefault="002049BA" w:rsidP="002049BA">
      <w:pPr>
        <w:pStyle w:val="Heading2"/>
      </w:pPr>
      <w:r>
        <w:t>Possible solutions</w:t>
      </w:r>
    </w:p>
    <w:p w14:paraId="56E9C17D" w14:textId="6FC983B1" w:rsidR="00A11330" w:rsidRDefault="00CB4207" w:rsidP="00CB4207">
      <w:pPr>
        <w:rPr>
          <w:sz w:val="24"/>
          <w:szCs w:val="24"/>
        </w:rPr>
      </w:pPr>
      <w:r>
        <w:rPr>
          <w:sz w:val="24"/>
          <w:szCs w:val="24"/>
        </w:rPr>
        <w:t>Based on the routine health data and the gaps identified from the survey data, an integrated digital solution for local level governments to visualize the status of the indicators and to support to prepare need based policy and plan to meet the SDG targets</w:t>
      </w:r>
      <w:r w:rsidR="002049BA">
        <w:rPr>
          <w:sz w:val="24"/>
          <w:szCs w:val="24"/>
        </w:rPr>
        <w:t>. The teams should aim to work on solutions that will:</w:t>
      </w:r>
    </w:p>
    <w:p w14:paraId="5AC920A7" w14:textId="77777777" w:rsidR="003019F3" w:rsidRPr="002049BA" w:rsidRDefault="002049BA" w:rsidP="002049BA">
      <w:pPr>
        <w:numPr>
          <w:ilvl w:val="0"/>
          <w:numId w:val="6"/>
        </w:numPr>
        <w:rPr>
          <w:sz w:val="24"/>
          <w:szCs w:val="24"/>
        </w:rPr>
      </w:pPr>
      <w:r w:rsidRPr="002049BA">
        <w:rPr>
          <w:sz w:val="24"/>
          <w:szCs w:val="24"/>
        </w:rPr>
        <w:t>Help decision makers understand the situation</w:t>
      </w:r>
    </w:p>
    <w:p w14:paraId="70F68334" w14:textId="39D3E4DF" w:rsidR="003019F3" w:rsidRPr="002049BA" w:rsidRDefault="002049BA" w:rsidP="002049BA">
      <w:pPr>
        <w:numPr>
          <w:ilvl w:val="0"/>
          <w:numId w:val="6"/>
        </w:numPr>
        <w:rPr>
          <w:sz w:val="24"/>
          <w:szCs w:val="24"/>
        </w:rPr>
      </w:pPr>
      <w:r w:rsidRPr="002049BA">
        <w:rPr>
          <w:sz w:val="24"/>
          <w:szCs w:val="24"/>
        </w:rPr>
        <w:t xml:space="preserve">Support </w:t>
      </w:r>
      <w:r>
        <w:rPr>
          <w:sz w:val="24"/>
          <w:szCs w:val="24"/>
        </w:rPr>
        <w:t xml:space="preserve">decision makers </w:t>
      </w:r>
      <w:r w:rsidRPr="002049BA">
        <w:rPr>
          <w:sz w:val="24"/>
          <w:szCs w:val="24"/>
        </w:rPr>
        <w:t>in moving from anecdotal evidence to REAL evidence</w:t>
      </w:r>
    </w:p>
    <w:p w14:paraId="3C14483E" w14:textId="664DD31D" w:rsidR="003019F3" w:rsidRPr="002049BA" w:rsidRDefault="002049BA" w:rsidP="002049BA">
      <w:pPr>
        <w:numPr>
          <w:ilvl w:val="0"/>
          <w:numId w:val="6"/>
        </w:numPr>
        <w:rPr>
          <w:sz w:val="24"/>
          <w:szCs w:val="24"/>
        </w:rPr>
      </w:pPr>
      <w:r w:rsidRPr="002049BA">
        <w:rPr>
          <w:sz w:val="24"/>
          <w:szCs w:val="24"/>
        </w:rPr>
        <w:t>Improve transparency and accountability mechanisms</w:t>
      </w:r>
      <w:r>
        <w:rPr>
          <w:sz w:val="24"/>
          <w:szCs w:val="24"/>
        </w:rPr>
        <w:t xml:space="preserve"> of government(s).</w:t>
      </w:r>
    </w:p>
    <w:p w14:paraId="20CE0FCB" w14:textId="77777777" w:rsidR="002049BA" w:rsidRPr="00CB4207" w:rsidRDefault="002049BA" w:rsidP="00CB4207">
      <w:pPr>
        <w:rPr>
          <w:sz w:val="24"/>
          <w:szCs w:val="24"/>
        </w:rPr>
      </w:pPr>
    </w:p>
    <w:p w14:paraId="60B0C820" w14:textId="77777777" w:rsidR="00A163D9" w:rsidRDefault="00A163D9" w:rsidP="00A163D9">
      <w:pPr>
        <w:rPr>
          <w:sz w:val="24"/>
          <w:szCs w:val="24"/>
        </w:rPr>
      </w:pPr>
    </w:p>
    <w:sectPr w:rsidR="00A163D9" w:rsidSect="001379A4">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3D24"/>
    <w:multiLevelType w:val="hybridMultilevel"/>
    <w:tmpl w:val="C0B69826"/>
    <w:lvl w:ilvl="0" w:tplc="704ED14C">
      <w:start w:val="1"/>
      <w:numFmt w:val="bullet"/>
      <w:lvlText w:val="•"/>
      <w:lvlJc w:val="left"/>
      <w:pPr>
        <w:tabs>
          <w:tab w:val="num" w:pos="720"/>
        </w:tabs>
        <w:ind w:left="720" w:hanging="360"/>
      </w:pPr>
      <w:rPr>
        <w:rFonts w:ascii="Times New Roman" w:hAnsi="Times New Roman" w:hint="default"/>
      </w:rPr>
    </w:lvl>
    <w:lvl w:ilvl="1" w:tplc="F5A2C846" w:tentative="1">
      <w:start w:val="1"/>
      <w:numFmt w:val="bullet"/>
      <w:lvlText w:val="•"/>
      <w:lvlJc w:val="left"/>
      <w:pPr>
        <w:tabs>
          <w:tab w:val="num" w:pos="1440"/>
        </w:tabs>
        <w:ind w:left="1440" w:hanging="360"/>
      </w:pPr>
      <w:rPr>
        <w:rFonts w:ascii="Times New Roman" w:hAnsi="Times New Roman" w:hint="default"/>
      </w:rPr>
    </w:lvl>
    <w:lvl w:ilvl="2" w:tplc="C5BC464C" w:tentative="1">
      <w:start w:val="1"/>
      <w:numFmt w:val="bullet"/>
      <w:lvlText w:val="•"/>
      <w:lvlJc w:val="left"/>
      <w:pPr>
        <w:tabs>
          <w:tab w:val="num" w:pos="2160"/>
        </w:tabs>
        <w:ind w:left="2160" w:hanging="360"/>
      </w:pPr>
      <w:rPr>
        <w:rFonts w:ascii="Times New Roman" w:hAnsi="Times New Roman" w:hint="default"/>
      </w:rPr>
    </w:lvl>
    <w:lvl w:ilvl="3" w:tplc="20141AAC" w:tentative="1">
      <w:start w:val="1"/>
      <w:numFmt w:val="bullet"/>
      <w:lvlText w:val="•"/>
      <w:lvlJc w:val="left"/>
      <w:pPr>
        <w:tabs>
          <w:tab w:val="num" w:pos="2880"/>
        </w:tabs>
        <w:ind w:left="2880" w:hanging="360"/>
      </w:pPr>
      <w:rPr>
        <w:rFonts w:ascii="Times New Roman" w:hAnsi="Times New Roman" w:hint="default"/>
      </w:rPr>
    </w:lvl>
    <w:lvl w:ilvl="4" w:tplc="7BF61958" w:tentative="1">
      <w:start w:val="1"/>
      <w:numFmt w:val="bullet"/>
      <w:lvlText w:val="•"/>
      <w:lvlJc w:val="left"/>
      <w:pPr>
        <w:tabs>
          <w:tab w:val="num" w:pos="3600"/>
        </w:tabs>
        <w:ind w:left="3600" w:hanging="360"/>
      </w:pPr>
      <w:rPr>
        <w:rFonts w:ascii="Times New Roman" w:hAnsi="Times New Roman" w:hint="default"/>
      </w:rPr>
    </w:lvl>
    <w:lvl w:ilvl="5" w:tplc="C8202B1C" w:tentative="1">
      <w:start w:val="1"/>
      <w:numFmt w:val="bullet"/>
      <w:lvlText w:val="•"/>
      <w:lvlJc w:val="left"/>
      <w:pPr>
        <w:tabs>
          <w:tab w:val="num" w:pos="4320"/>
        </w:tabs>
        <w:ind w:left="4320" w:hanging="360"/>
      </w:pPr>
      <w:rPr>
        <w:rFonts w:ascii="Times New Roman" w:hAnsi="Times New Roman" w:hint="default"/>
      </w:rPr>
    </w:lvl>
    <w:lvl w:ilvl="6" w:tplc="176CF36E" w:tentative="1">
      <w:start w:val="1"/>
      <w:numFmt w:val="bullet"/>
      <w:lvlText w:val="•"/>
      <w:lvlJc w:val="left"/>
      <w:pPr>
        <w:tabs>
          <w:tab w:val="num" w:pos="5040"/>
        </w:tabs>
        <w:ind w:left="5040" w:hanging="360"/>
      </w:pPr>
      <w:rPr>
        <w:rFonts w:ascii="Times New Roman" w:hAnsi="Times New Roman" w:hint="default"/>
      </w:rPr>
    </w:lvl>
    <w:lvl w:ilvl="7" w:tplc="725A7CB0" w:tentative="1">
      <w:start w:val="1"/>
      <w:numFmt w:val="bullet"/>
      <w:lvlText w:val="•"/>
      <w:lvlJc w:val="left"/>
      <w:pPr>
        <w:tabs>
          <w:tab w:val="num" w:pos="5760"/>
        </w:tabs>
        <w:ind w:left="5760" w:hanging="360"/>
      </w:pPr>
      <w:rPr>
        <w:rFonts w:ascii="Times New Roman" w:hAnsi="Times New Roman" w:hint="default"/>
      </w:rPr>
    </w:lvl>
    <w:lvl w:ilvl="8" w:tplc="E572DAD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2A2C6D"/>
    <w:multiLevelType w:val="multilevel"/>
    <w:tmpl w:val="371A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E6A62"/>
    <w:multiLevelType w:val="hybridMultilevel"/>
    <w:tmpl w:val="DBF86824"/>
    <w:lvl w:ilvl="0" w:tplc="9ABA3612">
      <w:start w:val="1"/>
      <w:numFmt w:val="bullet"/>
      <w:lvlText w:val="•"/>
      <w:lvlJc w:val="left"/>
      <w:pPr>
        <w:tabs>
          <w:tab w:val="num" w:pos="720"/>
        </w:tabs>
        <w:ind w:left="720" w:hanging="360"/>
      </w:pPr>
      <w:rPr>
        <w:rFonts w:ascii="Arial" w:hAnsi="Arial" w:hint="default"/>
      </w:rPr>
    </w:lvl>
    <w:lvl w:ilvl="1" w:tplc="993CF97A" w:tentative="1">
      <w:start w:val="1"/>
      <w:numFmt w:val="bullet"/>
      <w:lvlText w:val="•"/>
      <w:lvlJc w:val="left"/>
      <w:pPr>
        <w:tabs>
          <w:tab w:val="num" w:pos="1440"/>
        </w:tabs>
        <w:ind w:left="1440" w:hanging="360"/>
      </w:pPr>
      <w:rPr>
        <w:rFonts w:ascii="Arial" w:hAnsi="Arial" w:hint="default"/>
      </w:rPr>
    </w:lvl>
    <w:lvl w:ilvl="2" w:tplc="85440214" w:tentative="1">
      <w:start w:val="1"/>
      <w:numFmt w:val="bullet"/>
      <w:lvlText w:val="•"/>
      <w:lvlJc w:val="left"/>
      <w:pPr>
        <w:tabs>
          <w:tab w:val="num" w:pos="2160"/>
        </w:tabs>
        <w:ind w:left="2160" w:hanging="360"/>
      </w:pPr>
      <w:rPr>
        <w:rFonts w:ascii="Arial" w:hAnsi="Arial" w:hint="default"/>
      </w:rPr>
    </w:lvl>
    <w:lvl w:ilvl="3" w:tplc="F41A09E0" w:tentative="1">
      <w:start w:val="1"/>
      <w:numFmt w:val="bullet"/>
      <w:lvlText w:val="•"/>
      <w:lvlJc w:val="left"/>
      <w:pPr>
        <w:tabs>
          <w:tab w:val="num" w:pos="2880"/>
        </w:tabs>
        <w:ind w:left="2880" w:hanging="360"/>
      </w:pPr>
      <w:rPr>
        <w:rFonts w:ascii="Arial" w:hAnsi="Arial" w:hint="default"/>
      </w:rPr>
    </w:lvl>
    <w:lvl w:ilvl="4" w:tplc="151E8398" w:tentative="1">
      <w:start w:val="1"/>
      <w:numFmt w:val="bullet"/>
      <w:lvlText w:val="•"/>
      <w:lvlJc w:val="left"/>
      <w:pPr>
        <w:tabs>
          <w:tab w:val="num" w:pos="3600"/>
        </w:tabs>
        <w:ind w:left="3600" w:hanging="360"/>
      </w:pPr>
      <w:rPr>
        <w:rFonts w:ascii="Arial" w:hAnsi="Arial" w:hint="default"/>
      </w:rPr>
    </w:lvl>
    <w:lvl w:ilvl="5" w:tplc="EB7CB978" w:tentative="1">
      <w:start w:val="1"/>
      <w:numFmt w:val="bullet"/>
      <w:lvlText w:val="•"/>
      <w:lvlJc w:val="left"/>
      <w:pPr>
        <w:tabs>
          <w:tab w:val="num" w:pos="4320"/>
        </w:tabs>
        <w:ind w:left="4320" w:hanging="360"/>
      </w:pPr>
      <w:rPr>
        <w:rFonts w:ascii="Arial" w:hAnsi="Arial" w:hint="default"/>
      </w:rPr>
    </w:lvl>
    <w:lvl w:ilvl="6" w:tplc="E9CCC5C6" w:tentative="1">
      <w:start w:val="1"/>
      <w:numFmt w:val="bullet"/>
      <w:lvlText w:val="•"/>
      <w:lvlJc w:val="left"/>
      <w:pPr>
        <w:tabs>
          <w:tab w:val="num" w:pos="5040"/>
        </w:tabs>
        <w:ind w:left="5040" w:hanging="360"/>
      </w:pPr>
      <w:rPr>
        <w:rFonts w:ascii="Arial" w:hAnsi="Arial" w:hint="default"/>
      </w:rPr>
    </w:lvl>
    <w:lvl w:ilvl="7" w:tplc="F4EA5918" w:tentative="1">
      <w:start w:val="1"/>
      <w:numFmt w:val="bullet"/>
      <w:lvlText w:val="•"/>
      <w:lvlJc w:val="left"/>
      <w:pPr>
        <w:tabs>
          <w:tab w:val="num" w:pos="5760"/>
        </w:tabs>
        <w:ind w:left="5760" w:hanging="360"/>
      </w:pPr>
      <w:rPr>
        <w:rFonts w:ascii="Arial" w:hAnsi="Arial" w:hint="default"/>
      </w:rPr>
    </w:lvl>
    <w:lvl w:ilvl="8" w:tplc="6DF820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0246A88"/>
    <w:multiLevelType w:val="hybridMultilevel"/>
    <w:tmpl w:val="4496B6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C2474"/>
    <w:multiLevelType w:val="multilevel"/>
    <w:tmpl w:val="371A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21AF7"/>
    <w:multiLevelType w:val="hybridMultilevel"/>
    <w:tmpl w:val="5784F50A"/>
    <w:lvl w:ilvl="0" w:tplc="4258BE4C">
      <w:start w:val="1"/>
      <w:numFmt w:val="bullet"/>
      <w:lvlText w:val="•"/>
      <w:lvlJc w:val="left"/>
      <w:pPr>
        <w:tabs>
          <w:tab w:val="num" w:pos="720"/>
        </w:tabs>
        <w:ind w:left="720" w:hanging="360"/>
      </w:pPr>
      <w:rPr>
        <w:rFonts w:ascii="Times New Roman" w:hAnsi="Times New Roman" w:hint="default"/>
      </w:rPr>
    </w:lvl>
    <w:lvl w:ilvl="1" w:tplc="22AC8B4E" w:tentative="1">
      <w:start w:val="1"/>
      <w:numFmt w:val="bullet"/>
      <w:lvlText w:val="•"/>
      <w:lvlJc w:val="left"/>
      <w:pPr>
        <w:tabs>
          <w:tab w:val="num" w:pos="1440"/>
        </w:tabs>
        <w:ind w:left="1440" w:hanging="360"/>
      </w:pPr>
      <w:rPr>
        <w:rFonts w:ascii="Times New Roman" w:hAnsi="Times New Roman" w:hint="default"/>
      </w:rPr>
    </w:lvl>
    <w:lvl w:ilvl="2" w:tplc="D416DB0A" w:tentative="1">
      <w:start w:val="1"/>
      <w:numFmt w:val="bullet"/>
      <w:lvlText w:val="•"/>
      <w:lvlJc w:val="left"/>
      <w:pPr>
        <w:tabs>
          <w:tab w:val="num" w:pos="2160"/>
        </w:tabs>
        <w:ind w:left="2160" w:hanging="360"/>
      </w:pPr>
      <w:rPr>
        <w:rFonts w:ascii="Times New Roman" w:hAnsi="Times New Roman" w:hint="default"/>
      </w:rPr>
    </w:lvl>
    <w:lvl w:ilvl="3" w:tplc="95B0F3FE" w:tentative="1">
      <w:start w:val="1"/>
      <w:numFmt w:val="bullet"/>
      <w:lvlText w:val="•"/>
      <w:lvlJc w:val="left"/>
      <w:pPr>
        <w:tabs>
          <w:tab w:val="num" w:pos="2880"/>
        </w:tabs>
        <w:ind w:left="2880" w:hanging="360"/>
      </w:pPr>
      <w:rPr>
        <w:rFonts w:ascii="Times New Roman" w:hAnsi="Times New Roman" w:hint="default"/>
      </w:rPr>
    </w:lvl>
    <w:lvl w:ilvl="4" w:tplc="1B8AE8E0" w:tentative="1">
      <w:start w:val="1"/>
      <w:numFmt w:val="bullet"/>
      <w:lvlText w:val="•"/>
      <w:lvlJc w:val="left"/>
      <w:pPr>
        <w:tabs>
          <w:tab w:val="num" w:pos="3600"/>
        </w:tabs>
        <w:ind w:left="3600" w:hanging="360"/>
      </w:pPr>
      <w:rPr>
        <w:rFonts w:ascii="Times New Roman" w:hAnsi="Times New Roman" w:hint="default"/>
      </w:rPr>
    </w:lvl>
    <w:lvl w:ilvl="5" w:tplc="89D41A62" w:tentative="1">
      <w:start w:val="1"/>
      <w:numFmt w:val="bullet"/>
      <w:lvlText w:val="•"/>
      <w:lvlJc w:val="left"/>
      <w:pPr>
        <w:tabs>
          <w:tab w:val="num" w:pos="4320"/>
        </w:tabs>
        <w:ind w:left="4320" w:hanging="360"/>
      </w:pPr>
      <w:rPr>
        <w:rFonts w:ascii="Times New Roman" w:hAnsi="Times New Roman" w:hint="default"/>
      </w:rPr>
    </w:lvl>
    <w:lvl w:ilvl="6" w:tplc="76040FD4" w:tentative="1">
      <w:start w:val="1"/>
      <w:numFmt w:val="bullet"/>
      <w:lvlText w:val="•"/>
      <w:lvlJc w:val="left"/>
      <w:pPr>
        <w:tabs>
          <w:tab w:val="num" w:pos="5040"/>
        </w:tabs>
        <w:ind w:left="5040" w:hanging="360"/>
      </w:pPr>
      <w:rPr>
        <w:rFonts w:ascii="Times New Roman" w:hAnsi="Times New Roman" w:hint="default"/>
      </w:rPr>
    </w:lvl>
    <w:lvl w:ilvl="7" w:tplc="A126D1D2" w:tentative="1">
      <w:start w:val="1"/>
      <w:numFmt w:val="bullet"/>
      <w:lvlText w:val="•"/>
      <w:lvlJc w:val="left"/>
      <w:pPr>
        <w:tabs>
          <w:tab w:val="num" w:pos="5760"/>
        </w:tabs>
        <w:ind w:left="5760" w:hanging="360"/>
      </w:pPr>
      <w:rPr>
        <w:rFonts w:ascii="Times New Roman" w:hAnsi="Times New Roman" w:hint="default"/>
      </w:rPr>
    </w:lvl>
    <w:lvl w:ilvl="8" w:tplc="DB8C11F6"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85B"/>
    <w:rsid w:val="000679CE"/>
    <w:rsid w:val="00081BBE"/>
    <w:rsid w:val="000C1B1E"/>
    <w:rsid w:val="001379A4"/>
    <w:rsid w:val="001B2FC9"/>
    <w:rsid w:val="001C4BC1"/>
    <w:rsid w:val="002049BA"/>
    <w:rsid w:val="0021514B"/>
    <w:rsid w:val="00220BC9"/>
    <w:rsid w:val="00257CBE"/>
    <w:rsid w:val="002839DC"/>
    <w:rsid w:val="00297FCF"/>
    <w:rsid w:val="003019F3"/>
    <w:rsid w:val="003E6BB7"/>
    <w:rsid w:val="00497F65"/>
    <w:rsid w:val="004A4E25"/>
    <w:rsid w:val="005878AF"/>
    <w:rsid w:val="005C0A21"/>
    <w:rsid w:val="00650A16"/>
    <w:rsid w:val="00784128"/>
    <w:rsid w:val="007E3704"/>
    <w:rsid w:val="00804390"/>
    <w:rsid w:val="00864C46"/>
    <w:rsid w:val="00A11330"/>
    <w:rsid w:val="00A163D9"/>
    <w:rsid w:val="00BD0631"/>
    <w:rsid w:val="00BF2E71"/>
    <w:rsid w:val="00C1717E"/>
    <w:rsid w:val="00C22A77"/>
    <w:rsid w:val="00CB4207"/>
    <w:rsid w:val="00D1585B"/>
    <w:rsid w:val="00DC0C89"/>
    <w:rsid w:val="00E379B9"/>
    <w:rsid w:val="00E533B7"/>
    <w:rsid w:val="00E75600"/>
    <w:rsid w:val="00F93A3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2C17"/>
  <w15:chartTrackingRefBased/>
  <w15:docId w15:val="{DD20F93E-C275-46B3-B1C3-3575ED35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717E"/>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2">
    <w:name w:val="heading 2"/>
    <w:basedOn w:val="Normal"/>
    <w:next w:val="Normal"/>
    <w:link w:val="Heading2Char"/>
    <w:uiPriority w:val="9"/>
    <w:unhideWhenUsed/>
    <w:qFormat/>
    <w:rsid w:val="00F93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2E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7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1717E"/>
    <w:rPr>
      <w:color w:val="0000FF"/>
      <w:u w:val="single"/>
    </w:rPr>
  </w:style>
  <w:style w:type="character" w:customStyle="1" w:styleId="Heading1Char">
    <w:name w:val="Heading 1 Char"/>
    <w:basedOn w:val="DefaultParagraphFont"/>
    <w:link w:val="Heading1"/>
    <w:uiPriority w:val="9"/>
    <w:rsid w:val="00C1717E"/>
    <w:rPr>
      <w:rFonts w:ascii="Times New Roman" w:eastAsia="Times New Roman" w:hAnsi="Times New Roman" w:cs="Times New Roman"/>
      <w:b/>
      <w:bCs/>
      <w:kern w:val="36"/>
      <w:sz w:val="48"/>
      <w:szCs w:val="48"/>
      <w:lang w:bidi="ne-NP"/>
    </w:rPr>
  </w:style>
  <w:style w:type="paragraph" w:styleId="ListParagraph">
    <w:name w:val="List Paragraph"/>
    <w:basedOn w:val="Normal"/>
    <w:uiPriority w:val="34"/>
    <w:qFormat/>
    <w:rsid w:val="00C1717E"/>
    <w:pPr>
      <w:ind w:left="720"/>
      <w:contextualSpacing/>
    </w:pPr>
  </w:style>
  <w:style w:type="paragraph" w:styleId="NormalWeb">
    <w:name w:val="Normal (Web)"/>
    <w:basedOn w:val="Normal"/>
    <w:uiPriority w:val="99"/>
    <w:semiHidden/>
    <w:unhideWhenUsed/>
    <w:rsid w:val="0021514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eading2Char">
    <w:name w:val="Heading 2 Char"/>
    <w:basedOn w:val="DefaultParagraphFont"/>
    <w:link w:val="Heading2"/>
    <w:uiPriority w:val="9"/>
    <w:rsid w:val="00F93A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2E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37139">
      <w:bodyDiv w:val="1"/>
      <w:marLeft w:val="0"/>
      <w:marRight w:val="0"/>
      <w:marTop w:val="0"/>
      <w:marBottom w:val="0"/>
      <w:divBdr>
        <w:top w:val="none" w:sz="0" w:space="0" w:color="auto"/>
        <w:left w:val="none" w:sz="0" w:space="0" w:color="auto"/>
        <w:bottom w:val="none" w:sz="0" w:space="0" w:color="auto"/>
        <w:right w:val="none" w:sz="0" w:space="0" w:color="auto"/>
      </w:divBdr>
    </w:div>
    <w:div w:id="76488545">
      <w:bodyDiv w:val="1"/>
      <w:marLeft w:val="0"/>
      <w:marRight w:val="0"/>
      <w:marTop w:val="0"/>
      <w:marBottom w:val="0"/>
      <w:divBdr>
        <w:top w:val="none" w:sz="0" w:space="0" w:color="auto"/>
        <w:left w:val="none" w:sz="0" w:space="0" w:color="auto"/>
        <w:bottom w:val="none" w:sz="0" w:space="0" w:color="auto"/>
        <w:right w:val="none" w:sz="0" w:space="0" w:color="auto"/>
      </w:divBdr>
    </w:div>
    <w:div w:id="209920722">
      <w:bodyDiv w:val="1"/>
      <w:marLeft w:val="0"/>
      <w:marRight w:val="0"/>
      <w:marTop w:val="0"/>
      <w:marBottom w:val="0"/>
      <w:divBdr>
        <w:top w:val="none" w:sz="0" w:space="0" w:color="auto"/>
        <w:left w:val="none" w:sz="0" w:space="0" w:color="auto"/>
        <w:bottom w:val="none" w:sz="0" w:space="0" w:color="auto"/>
        <w:right w:val="none" w:sz="0" w:space="0" w:color="auto"/>
      </w:divBdr>
    </w:div>
    <w:div w:id="310519554">
      <w:bodyDiv w:val="1"/>
      <w:marLeft w:val="0"/>
      <w:marRight w:val="0"/>
      <w:marTop w:val="0"/>
      <w:marBottom w:val="0"/>
      <w:divBdr>
        <w:top w:val="none" w:sz="0" w:space="0" w:color="auto"/>
        <w:left w:val="none" w:sz="0" w:space="0" w:color="auto"/>
        <w:bottom w:val="none" w:sz="0" w:space="0" w:color="auto"/>
        <w:right w:val="none" w:sz="0" w:space="0" w:color="auto"/>
      </w:divBdr>
    </w:div>
    <w:div w:id="413279904">
      <w:bodyDiv w:val="1"/>
      <w:marLeft w:val="0"/>
      <w:marRight w:val="0"/>
      <w:marTop w:val="0"/>
      <w:marBottom w:val="0"/>
      <w:divBdr>
        <w:top w:val="none" w:sz="0" w:space="0" w:color="auto"/>
        <w:left w:val="none" w:sz="0" w:space="0" w:color="auto"/>
        <w:bottom w:val="none" w:sz="0" w:space="0" w:color="auto"/>
        <w:right w:val="none" w:sz="0" w:space="0" w:color="auto"/>
      </w:divBdr>
    </w:div>
    <w:div w:id="427309974">
      <w:bodyDiv w:val="1"/>
      <w:marLeft w:val="0"/>
      <w:marRight w:val="0"/>
      <w:marTop w:val="0"/>
      <w:marBottom w:val="0"/>
      <w:divBdr>
        <w:top w:val="none" w:sz="0" w:space="0" w:color="auto"/>
        <w:left w:val="none" w:sz="0" w:space="0" w:color="auto"/>
        <w:bottom w:val="none" w:sz="0" w:space="0" w:color="auto"/>
        <w:right w:val="none" w:sz="0" w:space="0" w:color="auto"/>
      </w:divBdr>
      <w:divsChild>
        <w:div w:id="499078236">
          <w:marLeft w:val="274"/>
          <w:marRight w:val="0"/>
          <w:marTop w:val="120"/>
          <w:marBottom w:val="0"/>
          <w:divBdr>
            <w:top w:val="none" w:sz="0" w:space="0" w:color="auto"/>
            <w:left w:val="none" w:sz="0" w:space="0" w:color="auto"/>
            <w:bottom w:val="none" w:sz="0" w:space="0" w:color="auto"/>
            <w:right w:val="none" w:sz="0" w:space="0" w:color="auto"/>
          </w:divBdr>
        </w:div>
        <w:div w:id="406193193">
          <w:marLeft w:val="274"/>
          <w:marRight w:val="0"/>
          <w:marTop w:val="120"/>
          <w:marBottom w:val="0"/>
          <w:divBdr>
            <w:top w:val="none" w:sz="0" w:space="0" w:color="auto"/>
            <w:left w:val="none" w:sz="0" w:space="0" w:color="auto"/>
            <w:bottom w:val="none" w:sz="0" w:space="0" w:color="auto"/>
            <w:right w:val="none" w:sz="0" w:space="0" w:color="auto"/>
          </w:divBdr>
        </w:div>
        <w:div w:id="1637759634">
          <w:marLeft w:val="274"/>
          <w:marRight w:val="0"/>
          <w:marTop w:val="120"/>
          <w:marBottom w:val="0"/>
          <w:divBdr>
            <w:top w:val="none" w:sz="0" w:space="0" w:color="auto"/>
            <w:left w:val="none" w:sz="0" w:space="0" w:color="auto"/>
            <w:bottom w:val="none" w:sz="0" w:space="0" w:color="auto"/>
            <w:right w:val="none" w:sz="0" w:space="0" w:color="auto"/>
          </w:divBdr>
        </w:div>
      </w:divsChild>
    </w:div>
    <w:div w:id="618923948">
      <w:bodyDiv w:val="1"/>
      <w:marLeft w:val="0"/>
      <w:marRight w:val="0"/>
      <w:marTop w:val="0"/>
      <w:marBottom w:val="0"/>
      <w:divBdr>
        <w:top w:val="none" w:sz="0" w:space="0" w:color="auto"/>
        <w:left w:val="none" w:sz="0" w:space="0" w:color="auto"/>
        <w:bottom w:val="none" w:sz="0" w:space="0" w:color="auto"/>
        <w:right w:val="none" w:sz="0" w:space="0" w:color="auto"/>
      </w:divBdr>
    </w:div>
    <w:div w:id="644704444">
      <w:bodyDiv w:val="1"/>
      <w:marLeft w:val="0"/>
      <w:marRight w:val="0"/>
      <w:marTop w:val="0"/>
      <w:marBottom w:val="0"/>
      <w:divBdr>
        <w:top w:val="none" w:sz="0" w:space="0" w:color="auto"/>
        <w:left w:val="none" w:sz="0" w:space="0" w:color="auto"/>
        <w:bottom w:val="none" w:sz="0" w:space="0" w:color="auto"/>
        <w:right w:val="none" w:sz="0" w:space="0" w:color="auto"/>
      </w:divBdr>
    </w:div>
    <w:div w:id="1149249907">
      <w:bodyDiv w:val="1"/>
      <w:marLeft w:val="0"/>
      <w:marRight w:val="0"/>
      <w:marTop w:val="0"/>
      <w:marBottom w:val="0"/>
      <w:divBdr>
        <w:top w:val="none" w:sz="0" w:space="0" w:color="auto"/>
        <w:left w:val="none" w:sz="0" w:space="0" w:color="auto"/>
        <w:bottom w:val="none" w:sz="0" w:space="0" w:color="auto"/>
        <w:right w:val="none" w:sz="0" w:space="0" w:color="auto"/>
      </w:divBdr>
    </w:div>
    <w:div w:id="1626616774">
      <w:bodyDiv w:val="1"/>
      <w:marLeft w:val="0"/>
      <w:marRight w:val="0"/>
      <w:marTop w:val="0"/>
      <w:marBottom w:val="0"/>
      <w:divBdr>
        <w:top w:val="none" w:sz="0" w:space="0" w:color="auto"/>
        <w:left w:val="none" w:sz="0" w:space="0" w:color="auto"/>
        <w:bottom w:val="none" w:sz="0" w:space="0" w:color="auto"/>
        <w:right w:val="none" w:sz="0" w:space="0" w:color="auto"/>
      </w:divBdr>
    </w:div>
    <w:div w:id="1828355486">
      <w:bodyDiv w:val="1"/>
      <w:marLeft w:val="0"/>
      <w:marRight w:val="0"/>
      <w:marTop w:val="0"/>
      <w:marBottom w:val="0"/>
      <w:divBdr>
        <w:top w:val="none" w:sz="0" w:space="0" w:color="auto"/>
        <w:left w:val="none" w:sz="0" w:space="0" w:color="auto"/>
        <w:bottom w:val="none" w:sz="0" w:space="0" w:color="auto"/>
        <w:right w:val="none" w:sz="0" w:space="0" w:color="auto"/>
      </w:divBdr>
      <w:divsChild>
        <w:div w:id="1290821677">
          <w:marLeft w:val="547"/>
          <w:marRight w:val="0"/>
          <w:marTop w:val="0"/>
          <w:marBottom w:val="0"/>
          <w:divBdr>
            <w:top w:val="none" w:sz="0" w:space="0" w:color="auto"/>
            <w:left w:val="none" w:sz="0" w:space="0" w:color="auto"/>
            <w:bottom w:val="none" w:sz="0" w:space="0" w:color="auto"/>
            <w:right w:val="none" w:sz="0" w:space="0" w:color="auto"/>
          </w:divBdr>
        </w:div>
        <w:div w:id="1425803211">
          <w:marLeft w:val="547"/>
          <w:marRight w:val="0"/>
          <w:marTop w:val="0"/>
          <w:marBottom w:val="0"/>
          <w:divBdr>
            <w:top w:val="none" w:sz="0" w:space="0" w:color="auto"/>
            <w:left w:val="none" w:sz="0" w:space="0" w:color="auto"/>
            <w:bottom w:val="none" w:sz="0" w:space="0" w:color="auto"/>
            <w:right w:val="none" w:sz="0" w:space="0" w:color="auto"/>
          </w:divBdr>
        </w:div>
        <w:div w:id="400448232">
          <w:marLeft w:val="547"/>
          <w:marRight w:val="0"/>
          <w:marTop w:val="0"/>
          <w:marBottom w:val="0"/>
          <w:divBdr>
            <w:top w:val="none" w:sz="0" w:space="0" w:color="auto"/>
            <w:left w:val="none" w:sz="0" w:space="0" w:color="auto"/>
            <w:bottom w:val="none" w:sz="0" w:space="0" w:color="auto"/>
            <w:right w:val="none" w:sz="0" w:space="0" w:color="auto"/>
          </w:divBdr>
        </w:div>
        <w:div w:id="654528467">
          <w:marLeft w:val="547"/>
          <w:marRight w:val="0"/>
          <w:marTop w:val="0"/>
          <w:marBottom w:val="0"/>
          <w:divBdr>
            <w:top w:val="none" w:sz="0" w:space="0" w:color="auto"/>
            <w:left w:val="none" w:sz="0" w:space="0" w:color="auto"/>
            <w:bottom w:val="none" w:sz="0" w:space="0" w:color="auto"/>
            <w:right w:val="none" w:sz="0" w:space="0" w:color="auto"/>
          </w:divBdr>
        </w:div>
        <w:div w:id="295919589">
          <w:marLeft w:val="547"/>
          <w:marRight w:val="0"/>
          <w:marTop w:val="0"/>
          <w:marBottom w:val="0"/>
          <w:divBdr>
            <w:top w:val="none" w:sz="0" w:space="0" w:color="auto"/>
            <w:left w:val="none" w:sz="0" w:space="0" w:color="auto"/>
            <w:bottom w:val="none" w:sz="0" w:space="0" w:color="auto"/>
            <w:right w:val="none" w:sz="0" w:space="0" w:color="auto"/>
          </w:divBdr>
        </w:div>
        <w:div w:id="824205361">
          <w:marLeft w:val="0"/>
          <w:marRight w:val="0"/>
          <w:marTop w:val="0"/>
          <w:marBottom w:val="0"/>
          <w:divBdr>
            <w:top w:val="none" w:sz="0" w:space="0" w:color="auto"/>
            <w:left w:val="none" w:sz="0" w:space="0" w:color="auto"/>
            <w:bottom w:val="none" w:sz="0" w:space="0" w:color="auto"/>
            <w:right w:val="none" w:sz="0" w:space="0" w:color="auto"/>
          </w:divBdr>
        </w:div>
      </w:divsChild>
    </w:div>
    <w:div w:id="1884900849">
      <w:bodyDiv w:val="1"/>
      <w:marLeft w:val="0"/>
      <w:marRight w:val="0"/>
      <w:marTop w:val="0"/>
      <w:marBottom w:val="0"/>
      <w:divBdr>
        <w:top w:val="none" w:sz="0" w:space="0" w:color="auto"/>
        <w:left w:val="none" w:sz="0" w:space="0" w:color="auto"/>
        <w:bottom w:val="none" w:sz="0" w:space="0" w:color="auto"/>
        <w:right w:val="none" w:sz="0" w:space="0" w:color="auto"/>
      </w:divBdr>
      <w:divsChild>
        <w:div w:id="1734621702">
          <w:marLeft w:val="547"/>
          <w:marRight w:val="0"/>
          <w:marTop w:val="0"/>
          <w:marBottom w:val="0"/>
          <w:divBdr>
            <w:top w:val="none" w:sz="0" w:space="0" w:color="auto"/>
            <w:left w:val="none" w:sz="0" w:space="0" w:color="auto"/>
            <w:bottom w:val="none" w:sz="0" w:space="0" w:color="auto"/>
            <w:right w:val="none" w:sz="0" w:space="0" w:color="auto"/>
          </w:divBdr>
        </w:div>
        <w:div w:id="929391983">
          <w:marLeft w:val="547"/>
          <w:marRight w:val="0"/>
          <w:marTop w:val="0"/>
          <w:marBottom w:val="0"/>
          <w:divBdr>
            <w:top w:val="none" w:sz="0" w:space="0" w:color="auto"/>
            <w:left w:val="none" w:sz="0" w:space="0" w:color="auto"/>
            <w:bottom w:val="none" w:sz="0" w:space="0" w:color="auto"/>
            <w:right w:val="none" w:sz="0" w:space="0" w:color="auto"/>
          </w:divBdr>
        </w:div>
      </w:divsChild>
    </w:div>
    <w:div w:id="212048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CD74678D74B284F8E84DB4289D51C92" ma:contentTypeVersion="2" ma:contentTypeDescription="Ein neues Dokument erstellen." ma:contentTypeScope="" ma:versionID="17876f0ece53e4b08d991b2bcfeba81d">
  <xsd:schema xmlns:xsd="http://www.w3.org/2001/XMLSchema" xmlns:xs="http://www.w3.org/2001/XMLSchema" xmlns:p="http://schemas.microsoft.com/office/2006/metadata/properties" xmlns:ns2="7f017cbb-1f64-4b0c-a708-602dd7edcfbb" targetNamespace="http://schemas.microsoft.com/office/2006/metadata/properties" ma:root="true" ma:fieldsID="cd1371e195a05358ecb1162526551de1" ns2:_="">
    <xsd:import namespace="7f017cbb-1f64-4b0c-a708-602dd7edcfb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017cbb-1f64-4b0c-a708-602dd7edcf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18D14F-D3C0-4716-A71A-BE857EF9DFD5}">
  <ds:schemaRef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7f017cbb-1f64-4b0c-a708-602dd7edcfbb"/>
    <ds:schemaRef ds:uri="http://purl.org/dc/elements/1.1/"/>
    <ds:schemaRef ds:uri="http://www.w3.org/XML/1998/namespace"/>
  </ds:schemaRefs>
</ds:datastoreItem>
</file>

<file path=customXml/itemProps2.xml><?xml version="1.0" encoding="utf-8"?>
<ds:datastoreItem xmlns:ds="http://schemas.openxmlformats.org/officeDocument/2006/customXml" ds:itemID="{C6EE5419-063F-4981-8CE2-3B33E05C397E}">
  <ds:schemaRefs>
    <ds:schemaRef ds:uri="http://schemas.microsoft.com/sharepoint/v3/contenttype/forms"/>
  </ds:schemaRefs>
</ds:datastoreItem>
</file>

<file path=customXml/itemProps3.xml><?xml version="1.0" encoding="utf-8"?>
<ds:datastoreItem xmlns:ds="http://schemas.openxmlformats.org/officeDocument/2006/customXml" ds:itemID="{65F25108-8E12-4870-97A8-8321242F1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017cbb-1f64-4b0c-a708-602dd7edcf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Padam Dahal</dc:creator>
  <cp:keywords/>
  <dc:description/>
  <cp:lastModifiedBy>Padam Dahal</cp:lastModifiedBy>
  <cp:revision>16</cp:revision>
  <dcterms:created xsi:type="dcterms:W3CDTF">2019-07-15T09:49:00Z</dcterms:created>
  <dcterms:modified xsi:type="dcterms:W3CDTF">2019-07-17T08:58:00Z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0x010100FCD74678D74B284F8E84DB4289D51C92</vt:lpwstr>
  </property>
</Properties>
</file>