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241F19"/>
          <w:sz w:val="52"/>
          <w:szCs w:val="52"/>
        </w:rPr>
        <w:t xml:space="preserve">REGALIS WORKSPACE</w:t>
      </w:r>
    </w:p>
    <w:p>
      <w:pPr>
        <w:spacing w:after="60" w:before="120"/>
        <w:jc w:val="center"/>
      </w:pPr>
      <w:r>
        <w:rPr>
          <w:b/>
          <w:bCs/>
          <w:color w:val="B8842B"/>
          <w:sz w:val="30"/>
          <w:szCs w:val="30"/>
        </w:rPr>
        <w:t xml:space="preserve">Membership — Complete Feature Specification</w:t>
      </w:r>
    </w:p>
    <w:p>
      <w:pPr>
        <w:spacing w:after="900" w:before="40"/>
        <w:jc w:val="center"/>
      </w:pPr>
      <w:r>
        <w:rPr>
          <w:i/>
          <w:iCs/>
          <w:color w:val="555555"/>
          <w:sz w:val="22"/>
          <w:szCs w:val="22"/>
        </w:rPr>
        <w:t xml:space="preserve">Single-feature build document for the development team — single-location edition</w:t>
      </w:r>
    </w:p>
    <w:p>
      <w:pPr>
        <w:spacing w:after="40"/>
        <w:jc w:val="center"/>
      </w:pPr>
      <w:r>
        <w:rPr>
          <w:color w:val="333333"/>
          <w:sz w:val="20"/>
          <w:szCs w:val="20"/>
        </w:rPr>
        <w:t xml:space="preserve">Module: Membership (Customer Portal + Admin Portal)</w:t>
      </w:r>
    </w:p>
    <w:p>
      <w:pPr>
        <w:spacing w:after="40"/>
        <w:jc w:val="center"/>
      </w:pPr>
      <w:r>
        <w:rPr>
          <w:color w:val="333333"/>
          <w:sz w:val="20"/>
          <w:szCs w:val="20"/>
        </w:rPr>
        <w:t xml:space="preserve">Project Manager: Kausika</w:t>
      </w:r>
    </w:p>
    <w:p>
      <w:pPr>
        <w:spacing w:after="900"/>
        <w:jc w:val="center"/>
      </w:pPr>
      <w:r>
        <w:rPr>
          <w:color w:val="333333"/>
          <w:sz w:val="20"/>
          <w:szCs w:val="20"/>
        </w:rPr>
        <w:t xml:space="preserve">Document Version: 1.0 — September 2026</w:t>
      </w:r>
    </w:p>
    <w:p>
      <w:r>
        <w:br w:type="page"/>
      </w:r>
    </w:p>
    <w:p>
      <w:pPr>
        <w:pStyle w:val="Heading1"/>
        <w:pBdr>
          <w:bottom w:val="single" w:color="CC9A3D" w:sz="8" w:space="4"/>
        </w:pBdr>
        <w:spacing w:after="150" w:before="340"/>
      </w:pPr>
      <w:r>
        <w:rPr>
          <w:b/>
          <w:bCs/>
          <w:color w:val="241F19"/>
          <w:sz w:val="30"/>
          <w:szCs w:val="30"/>
        </w:rPr>
        <w:t xml:space="preserve">How To Use This Document</w:t>
      </w:r>
    </w:p>
    <w:p>
      <w:pPr>
        <w:spacing w:after="140"/>
      </w:pPr>
      <w:r>
        <w:rPr>
          <w:b w:val="false"/>
          <w:bCs w:val="false"/>
          <w:i w:val="false"/>
          <w:iCs w:val="false"/>
          <w:color w:val="333333"/>
          <w:sz w:val="21"/>
          <w:szCs w:val="21"/>
        </w:rPr>
        <w:t xml:space="preserve">This document is self-contained — it describes ONE feature (Membership) end to end: what it does, what it looks like, every option it needs, and the exact flows a developer should build. It can be handed to Claude on its own to generate the Membership feature, without needing the full platform specification.</w:t>
      </w:r>
    </w:p>
    <w:p>
      <w:pPr>
        <w:pStyle w:val="ListParagraph"/>
        <w:numPr>
          <w:ilvl w:val="0"/>
          <w:numId w:val="1"/>
        </w:numPr>
        <w:spacing w:after="60"/>
      </w:pPr>
      <w:r>
        <w:rPr>
          <w:sz w:val="21"/>
          <w:szCs w:val="21"/>
        </w:rPr>
        <w:t xml:space="preserve">Section 1 explains the feature in plain terms — what a Membership is and how it behaves.</w:t>
      </w:r>
    </w:p>
    <w:p>
      <w:pPr>
        <w:pStyle w:val="ListParagraph"/>
        <w:numPr>
          <w:ilvl w:val="0"/>
          <w:numId w:val="1"/>
        </w:numPr>
        <w:spacing w:after="60"/>
      </w:pPr>
      <w:r>
        <w:rPr>
          <w:sz w:val="21"/>
          <w:szCs w:val="21"/>
        </w:rPr>
        <w:t xml:space="preserve">Section 2 is the pricing/options table — the exact numbers to hardcode or configure, across space type AND duration.</w:t>
      </w:r>
    </w:p>
    <w:p>
      <w:pPr>
        <w:pStyle w:val="ListParagraph"/>
        <w:numPr>
          <w:ilvl w:val="0"/>
          <w:numId w:val="1"/>
        </w:numPr>
        <w:spacing w:after="60"/>
      </w:pPr>
      <w:r>
        <w:rPr>
          <w:sz w:val="21"/>
          <w:szCs w:val="21"/>
        </w:rPr>
        <w:t xml:space="preserve">Section 3 shows every screen with a real design reference image, described field by field.</w:t>
      </w:r>
    </w:p>
    <w:p>
      <w:pPr>
        <w:pStyle w:val="ListParagraph"/>
        <w:numPr>
          <w:ilvl w:val="0"/>
          <w:numId w:val="1"/>
        </w:numPr>
        <w:spacing w:after="60"/>
      </w:pPr>
      <w:r>
        <w:rPr>
          <w:sz w:val="21"/>
          <w:szCs w:val="21"/>
        </w:rPr>
        <w:t xml:space="preserve">Section 4 has the 3 flow charts — purchase/signup, renewal, and meeting-room credit lifecycle.</w:t>
      </w:r>
    </w:p>
    <w:p>
      <w:pPr>
        <w:pStyle w:val="ListParagraph"/>
        <w:numPr>
          <w:ilvl w:val="0"/>
          <w:numId w:val="1"/>
        </w:numPr>
        <w:spacing w:after="60"/>
      </w:pPr>
      <w:r>
        <w:rPr>
          <w:sz w:val="21"/>
          <w:szCs w:val="21"/>
        </w:rPr>
        <w:t xml:space="preserve">Section 5 lists the data model and business rules a developer needs to build this correctly.</w:t>
      </w:r>
    </w:p>
    <w:p>
      <w:pPr>
        <w:pStyle w:val="ListParagraph"/>
        <w:numPr>
          <w:ilvl w:val="0"/>
          <w:numId w:val="1"/>
        </w:numPr>
        <w:spacing w:after="60"/>
      </w:pPr>
      <w:r>
        <w:rPr>
          <w:sz w:val="21"/>
          <w:szCs w:val="21"/>
        </w:rPr>
        <w:t xml:space="preserve">Section 6 lists open questions — assumptions made here that should be confirmed with the Project Manager before/while building.</w:t>
      </w:r>
    </w:p>
    <w:p>
      <w:r>
        <w:br w:type="page"/>
      </w:r>
    </w:p>
    <w:p>
      <w:pPr>
        <w:pStyle w:val="Heading1"/>
        <w:pBdr>
          <w:bottom w:val="single" w:color="CC9A3D" w:sz="8" w:space="4"/>
        </w:pBdr>
        <w:spacing w:after="150" w:before="340"/>
      </w:pPr>
      <w:r>
        <w:rPr>
          <w:b/>
          <w:bCs/>
          <w:color w:val="241F19"/>
          <w:sz w:val="30"/>
          <w:szCs w:val="30"/>
        </w:rPr>
        <w:t xml:space="preserve">1. What Is Membership? (Overview)</w:t>
      </w:r>
    </w:p>
    <w:p>
      <w:pPr>
        <w:spacing w:after="140"/>
      </w:pPr>
      <w:r>
        <w:rPr>
          <w:b w:val="false"/>
          <w:bCs w:val="false"/>
          <w:i w:val="false"/>
          <w:iCs w:val="false"/>
          <w:color w:val="333333"/>
          <w:sz w:val="21"/>
          <w:szCs w:val="21"/>
        </w:rPr>
        <w:t xml:space="preserve">A Membership is a recurring commitment plan that gives a customer ongoing access to a specific space type at Regalis WorkSpace — Open/Hot Desk, Dedicated Desk, 4-Seater Cabin, 8-Seater Cabin, or Virtual Office — for a chosen duration, at a discounted monthly rate compared to paying month to month.</w:t>
      </w:r>
    </w:p>
    <w:p>
      <w:pPr>
        <w:pBdr>
          <w:top w:val="single" w:color="9C6500" w:sz="6" w:space="4"/>
          <w:bottom w:val="single" w:color="9C6500" w:sz="6" w:space="4"/>
          <w:left w:val="single" w:color="9C6500" w:sz="6" w:space="4"/>
          <w:right w:val="single" w:color="9C6500" w:sz="6" w:space="4"/>
        </w:pBdr>
        <w:shd w:fill="FFEB9C" w:val="clear"/>
        <w:spacing w:after="160" w:before="100"/>
      </w:pPr>
      <w:r>
        <w:rPr>
          <w:b/>
          <w:bCs/>
          <w:color w:val="6B4E00"/>
          <w:sz w:val="20"/>
          <w:szCs w:val="20"/>
        </w:rPr>
        <w:t xml:space="preserve">NOTE: Regalis currently operates from a SINGLE office. There is no location picker anywhere in this feature — every screen below assumes one office. This is consistent with the Day Pass feature specification.</w:t>
      </w:r>
    </w:p>
    <w:p>
      <w:pPr>
        <w:spacing w:after="140"/>
      </w:pPr>
      <w:r>
        <w:rPr>
          <w:b w:val="false"/>
          <w:bCs w:val="false"/>
          <w:i w:val="false"/>
          <w:iCs w:val="false"/>
          <w:color w:val="333333"/>
          <w:sz w:val="21"/>
          <w:szCs w:val="21"/>
        </w:rPr>
        <w:t xml:space="preserve">Membership has two independent choices the customer makes:</w:t>
      </w:r>
    </w:p>
    <w:p>
      <w:pPr>
        <w:pStyle w:val="ListParagraph"/>
        <w:numPr>
          <w:ilvl w:val="0"/>
          <w:numId w:val="1"/>
        </w:numPr>
        <w:spacing w:after="60"/>
      </w:pPr>
      <w:r>
        <w:rPr>
          <w:sz w:val="21"/>
          <w:szCs w:val="21"/>
        </w:rPr>
        <w:t xml:space="preserve">Space Type — which kind of space the membership covers (5 options).</w:t>
      </w:r>
    </w:p>
    <w:p>
      <w:pPr>
        <w:pStyle w:val="ListParagraph"/>
        <w:numPr>
          <w:ilvl w:val="0"/>
          <w:numId w:val="1"/>
        </w:numPr>
        <w:spacing w:after="60"/>
      </w:pPr>
      <w:r>
        <w:rPr>
          <w:sz w:val="21"/>
          <w:szCs w:val="21"/>
        </w:rPr>
        <w:t xml:space="preserve">Duration — Monthly, 3-Month, 6-Month, or 12-Month commitment. Longer commitments unlock a lower effective monthly rate AND more free Meeting Room hours per month.</w:t>
      </w:r>
    </w:p>
    <w:p>
      <w:pPr>
        <w:spacing w:after="140"/>
      </w:pPr>
      <w:r>
        <w:rPr>
          <w:b w:val="false"/>
          <w:bCs w:val="false"/>
          <w:i w:val="false"/>
          <w:iCs w:val="false"/>
          <w:color w:val="333333"/>
          <w:sz w:val="21"/>
          <w:szCs w:val="21"/>
        </w:rPr>
        <w:t xml:space="preserve">This is the core idea a developer needs to get right: pricing is a GRID (5 space types × 4 durations = 20 price points), not a flat list of plans. And membership tiers grant recurring monthly benefits (meeting room hours, guest passes) that reset every billing month — they are not one-time perks.</w:t>
      </w:r>
    </w:p>
    <w:p>
      <w:pPr>
        <w:pBdr>
          <w:top w:val="single" w:color="9C6500" w:sz="6" w:space="4"/>
          <w:bottom w:val="single" w:color="9C6500" w:sz="6" w:space="4"/>
          <w:left w:val="single" w:color="9C6500" w:sz="6" w:space="4"/>
          <w:right w:val="single" w:color="9C6500" w:sz="6" w:space="4"/>
        </w:pBdr>
        <w:shd w:fill="FFEB9C" w:val="clear"/>
        <w:spacing w:after="160" w:before="100"/>
      </w:pPr>
      <w:r>
        <w:rPr>
          <w:b/>
          <w:bCs/>
          <w:color w:val="6B4E00"/>
          <w:sz w:val="20"/>
          <w:szCs w:val="20"/>
        </w:rPr>
        <w:t xml:space="preserve">NOTE: Do not confuse this with the Day Pass feature. Day Pass is a wallet of one-time-use day-credits with no ongoing commitment. Membership is a recurring monthly/quarterly/annual commitment with monthly-refreshing benefits. They are separate features with separate data models, even though both appear in the same hamburger menu.</w:t>
      </w:r>
    </w:p>
    <w:p>
      <w:pPr>
        <w:pStyle w:val="Heading1"/>
        <w:pBdr>
          <w:bottom w:val="single" w:color="CC9A3D" w:sz="8" w:space="4"/>
        </w:pBdr>
        <w:spacing w:after="150" w:before="340"/>
      </w:pPr>
      <w:r>
        <w:rPr>
          <w:b/>
          <w:bCs/>
          <w:color w:val="241F19"/>
          <w:sz w:val="30"/>
          <w:szCs w:val="30"/>
        </w:rPr>
        <w:t xml:space="preserve">2. Pricing &amp; Options (What This Feature Must Offer)</w:t>
      </w:r>
    </w:p>
    <w:p>
      <w:pPr>
        <w:spacing w:after="140"/>
      </w:pPr>
      <w:r>
        <w:rPr>
          <w:b w:val="false"/>
          <w:bCs w:val="false"/>
          <w:i w:val="false"/>
          <w:iCs w:val="false"/>
          <w:color w:val="333333"/>
          <w:sz w:val="21"/>
          <w:szCs w:val="21"/>
        </w:rPr>
        <w:t xml:space="preserve">Discount rule is uniform across every space type: 5% off at 3 months, 10% off at 6 months, 15% off at 12 months. Every cell in the grid below must be a real, selectable combination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shd w:fill="241F19" w:val="clear"/>
            <w:tcMar>
              <w:top w:type="dxa" w:w="60"/>
              <w:left w:type="dxa" w:w="100"/>
              <w:bottom w:type="dxa" w:w="60"/>
              <w:right w:type="dxa" w:w="100"/>
            </w:tcMar>
            <w:vAlign w:val="center"/>
          </w:tcPr>
          <w:p>
            <w:r>
              <w:rPr>
                <w:b/>
                <w:bCs/>
                <w:color w:val="FFFFFF"/>
                <w:sz w:val="19"/>
                <w:szCs w:val="19"/>
              </w:rPr>
              <w:t xml:space="preserve">Space Type</w:t>
            </w:r>
          </w:p>
        </w:tc>
        <w:tc>
          <w:tcPr>
            <w:tcW w:type="dxa" w:w="1700"/>
            <w:shd w:fill="241F19" w:val="clear"/>
            <w:tcMar>
              <w:top w:type="dxa" w:w="60"/>
              <w:left w:type="dxa" w:w="100"/>
              <w:bottom w:type="dxa" w:w="60"/>
              <w:right w:type="dxa" w:w="100"/>
            </w:tcMar>
            <w:vAlign w:val="center"/>
          </w:tcPr>
          <w:p>
            <w:r>
              <w:rPr>
                <w:b/>
                <w:bCs/>
                <w:color w:val="FFFFFF"/>
                <w:sz w:val="19"/>
                <w:szCs w:val="19"/>
              </w:rPr>
              <w:t xml:space="preserve">Monthly</w:t>
            </w:r>
          </w:p>
        </w:tc>
        <w:tc>
          <w:tcPr>
            <w:tcW w:type="dxa" w:w="1700"/>
            <w:shd w:fill="241F19" w:val="clear"/>
            <w:tcMar>
              <w:top w:type="dxa" w:w="60"/>
              <w:left w:type="dxa" w:w="100"/>
              <w:bottom w:type="dxa" w:w="60"/>
              <w:right w:type="dxa" w:w="100"/>
            </w:tcMar>
            <w:vAlign w:val="center"/>
          </w:tcPr>
          <w:p>
            <w:r>
              <w:rPr>
                <w:b/>
                <w:bCs/>
                <w:color w:val="FFFFFF"/>
                <w:sz w:val="19"/>
                <w:szCs w:val="19"/>
              </w:rPr>
              <w:t xml:space="preserve">3-Month /mo</w:t>
            </w:r>
          </w:p>
        </w:tc>
        <w:tc>
          <w:tcPr>
            <w:tcW w:type="dxa" w:w="1700"/>
            <w:shd w:fill="241F19" w:val="clear"/>
            <w:tcMar>
              <w:top w:type="dxa" w:w="60"/>
              <w:left w:type="dxa" w:w="100"/>
              <w:bottom w:type="dxa" w:w="60"/>
              <w:right w:type="dxa" w:w="100"/>
            </w:tcMar>
            <w:vAlign w:val="center"/>
          </w:tcPr>
          <w:p>
            <w:r>
              <w:rPr>
                <w:b/>
                <w:bCs/>
                <w:color w:val="FFFFFF"/>
                <w:sz w:val="19"/>
                <w:szCs w:val="19"/>
              </w:rPr>
              <w:t xml:space="preserve">6-Month /mo</w:t>
            </w:r>
          </w:p>
        </w:tc>
        <w:tc>
          <w:tcPr>
            <w:tcW w:type="dxa" w:w="1700"/>
            <w:shd w:fill="241F19" w:val="clear"/>
            <w:tcMar>
              <w:top w:type="dxa" w:w="60"/>
              <w:left w:type="dxa" w:w="100"/>
              <w:bottom w:type="dxa" w:w="60"/>
              <w:right w:type="dxa" w:w="100"/>
            </w:tcMar>
            <w:vAlign w:val="center"/>
          </w:tcPr>
          <w:p>
            <w:r>
              <w:rPr>
                <w:b/>
                <w:bCs/>
                <w:color w:val="FFFFFF"/>
                <w:sz w:val="19"/>
                <w:szCs w:val="19"/>
              </w:rPr>
              <w:t xml:space="preserve">12-Month /mo</w:t>
            </w:r>
          </w:p>
        </w:tc>
      </w:tr>
      <w:tr>
        <w:tc>
          <w:tcPr>
            <w:tcW w:type="dxa" w:w="2560"/>
            <w:tcMar>
              <w:top w:type="dxa" w:w="60"/>
              <w:left w:type="dxa" w:w="100"/>
              <w:bottom w:type="dxa" w:w="60"/>
              <w:right w:type="dxa" w:w="100"/>
            </w:tcMar>
            <w:vAlign w:val="center"/>
          </w:tcPr>
          <w:p>
            <w:r>
              <w:rPr>
                <w:b w:val="false"/>
                <w:bCs w:val="false"/>
                <w:color w:val="222222"/>
                <w:sz w:val="19"/>
                <w:szCs w:val="19"/>
              </w:rPr>
              <w:t xml:space="preserve">Open / Hot Desk</w:t>
            </w:r>
          </w:p>
        </w:tc>
        <w:tc>
          <w:tcPr>
            <w:tcW w:type="dxa" w:w="1700"/>
            <w:tcMar>
              <w:top w:type="dxa" w:w="60"/>
              <w:left w:type="dxa" w:w="100"/>
              <w:bottom w:type="dxa" w:w="60"/>
              <w:right w:type="dxa" w:w="100"/>
            </w:tcMar>
            <w:vAlign w:val="center"/>
          </w:tcPr>
          <w:p>
            <w:r>
              <w:rPr>
                <w:b w:val="false"/>
                <w:bCs w:val="false"/>
                <w:color w:val="222222"/>
                <w:sz w:val="19"/>
                <w:szCs w:val="19"/>
              </w:rPr>
              <w:t xml:space="preserve">₹7,000</w:t>
            </w:r>
          </w:p>
        </w:tc>
        <w:tc>
          <w:tcPr>
            <w:tcW w:type="dxa" w:w="1700"/>
            <w:tcMar>
              <w:top w:type="dxa" w:w="60"/>
              <w:left w:type="dxa" w:w="100"/>
              <w:bottom w:type="dxa" w:w="60"/>
              <w:right w:type="dxa" w:w="100"/>
            </w:tcMar>
            <w:vAlign w:val="center"/>
          </w:tcPr>
          <w:p>
            <w:r>
              <w:rPr>
                <w:b w:val="false"/>
                <w:bCs w:val="false"/>
                <w:color w:val="222222"/>
                <w:sz w:val="19"/>
                <w:szCs w:val="19"/>
              </w:rPr>
              <w:t xml:space="preserve">₹6,650</w:t>
            </w:r>
          </w:p>
        </w:tc>
        <w:tc>
          <w:tcPr>
            <w:tcW w:type="dxa" w:w="1700"/>
            <w:tcMar>
              <w:top w:type="dxa" w:w="60"/>
              <w:left w:type="dxa" w:w="100"/>
              <w:bottom w:type="dxa" w:w="60"/>
              <w:right w:type="dxa" w:w="100"/>
            </w:tcMar>
            <w:vAlign w:val="center"/>
          </w:tcPr>
          <w:p>
            <w:r>
              <w:rPr>
                <w:b w:val="false"/>
                <w:bCs w:val="false"/>
                <w:color w:val="222222"/>
                <w:sz w:val="19"/>
                <w:szCs w:val="19"/>
              </w:rPr>
              <w:t xml:space="preserve">₹6,300</w:t>
            </w:r>
          </w:p>
        </w:tc>
        <w:tc>
          <w:tcPr>
            <w:tcW w:type="dxa" w:w="1700"/>
            <w:tcMar>
              <w:top w:type="dxa" w:w="60"/>
              <w:left w:type="dxa" w:w="100"/>
              <w:bottom w:type="dxa" w:w="60"/>
              <w:right w:type="dxa" w:w="100"/>
            </w:tcMar>
            <w:vAlign w:val="center"/>
          </w:tcPr>
          <w:p>
            <w:r>
              <w:rPr>
                <w:b w:val="false"/>
                <w:bCs w:val="false"/>
                <w:color w:val="222222"/>
                <w:sz w:val="19"/>
                <w:szCs w:val="19"/>
              </w:rPr>
              <w:t xml:space="preserve">₹5,950</w:t>
            </w:r>
          </w:p>
        </w:tc>
      </w:tr>
      <w:tr>
        <w:tc>
          <w:tcPr>
            <w:tcW w:type="dxa" w:w="2560"/>
            <w:tcMar>
              <w:top w:type="dxa" w:w="60"/>
              <w:left w:type="dxa" w:w="100"/>
              <w:bottom w:type="dxa" w:w="60"/>
              <w:right w:type="dxa" w:w="100"/>
            </w:tcMar>
            <w:vAlign w:val="center"/>
          </w:tcPr>
          <w:p>
            <w:r>
              <w:rPr>
                <w:b w:val="false"/>
                <w:bCs w:val="false"/>
                <w:color w:val="222222"/>
                <w:sz w:val="19"/>
                <w:szCs w:val="19"/>
              </w:rPr>
              <w:t xml:space="preserve">Dedicated Desk</w:t>
            </w:r>
          </w:p>
        </w:tc>
        <w:tc>
          <w:tcPr>
            <w:tcW w:type="dxa" w:w="1700"/>
            <w:tcMar>
              <w:top w:type="dxa" w:w="60"/>
              <w:left w:type="dxa" w:w="100"/>
              <w:bottom w:type="dxa" w:w="60"/>
              <w:right w:type="dxa" w:w="100"/>
            </w:tcMar>
            <w:vAlign w:val="center"/>
          </w:tcPr>
          <w:p>
            <w:r>
              <w:rPr>
                <w:b w:val="false"/>
                <w:bCs w:val="false"/>
                <w:color w:val="222222"/>
                <w:sz w:val="19"/>
                <w:szCs w:val="19"/>
              </w:rPr>
              <w:t xml:space="preserve">₹9,000</w:t>
            </w:r>
          </w:p>
        </w:tc>
        <w:tc>
          <w:tcPr>
            <w:tcW w:type="dxa" w:w="1700"/>
            <w:tcMar>
              <w:top w:type="dxa" w:w="60"/>
              <w:left w:type="dxa" w:w="100"/>
              <w:bottom w:type="dxa" w:w="60"/>
              <w:right w:type="dxa" w:w="100"/>
            </w:tcMar>
            <w:vAlign w:val="center"/>
          </w:tcPr>
          <w:p>
            <w:r>
              <w:rPr>
                <w:b w:val="false"/>
                <w:bCs w:val="false"/>
                <w:color w:val="222222"/>
                <w:sz w:val="19"/>
                <w:szCs w:val="19"/>
              </w:rPr>
              <w:t xml:space="preserve">₹8,550</w:t>
            </w:r>
          </w:p>
        </w:tc>
        <w:tc>
          <w:tcPr>
            <w:tcW w:type="dxa" w:w="1700"/>
            <w:tcMar>
              <w:top w:type="dxa" w:w="60"/>
              <w:left w:type="dxa" w:w="100"/>
              <w:bottom w:type="dxa" w:w="60"/>
              <w:right w:type="dxa" w:w="100"/>
            </w:tcMar>
            <w:vAlign w:val="center"/>
          </w:tcPr>
          <w:p>
            <w:r>
              <w:rPr>
                <w:b w:val="false"/>
                <w:bCs w:val="false"/>
                <w:color w:val="222222"/>
                <w:sz w:val="19"/>
                <w:szCs w:val="19"/>
              </w:rPr>
              <w:t xml:space="preserve">₹8,100</w:t>
            </w:r>
          </w:p>
        </w:tc>
        <w:tc>
          <w:tcPr>
            <w:tcW w:type="dxa" w:w="1700"/>
            <w:tcMar>
              <w:top w:type="dxa" w:w="60"/>
              <w:left w:type="dxa" w:w="100"/>
              <w:bottom w:type="dxa" w:w="60"/>
              <w:right w:type="dxa" w:w="100"/>
            </w:tcMar>
            <w:vAlign w:val="center"/>
          </w:tcPr>
          <w:p>
            <w:r>
              <w:rPr>
                <w:b w:val="false"/>
                <w:bCs w:val="false"/>
                <w:color w:val="222222"/>
                <w:sz w:val="19"/>
                <w:szCs w:val="19"/>
              </w:rPr>
              <w:t xml:space="preserve">₹7,650</w:t>
            </w:r>
          </w:p>
        </w:tc>
      </w:tr>
      <w:tr>
        <w:tc>
          <w:tcPr>
            <w:tcW w:type="dxa" w:w="2560"/>
            <w:tcMar>
              <w:top w:type="dxa" w:w="60"/>
              <w:left w:type="dxa" w:w="100"/>
              <w:bottom w:type="dxa" w:w="60"/>
              <w:right w:type="dxa" w:w="100"/>
            </w:tcMar>
            <w:vAlign w:val="center"/>
          </w:tcPr>
          <w:p>
            <w:r>
              <w:rPr>
                <w:b w:val="false"/>
                <w:bCs w:val="false"/>
                <w:color w:val="222222"/>
                <w:sz w:val="19"/>
                <w:szCs w:val="19"/>
              </w:rPr>
              <w:t xml:space="preserve">4-Seater Cabin</w:t>
            </w:r>
          </w:p>
        </w:tc>
        <w:tc>
          <w:tcPr>
            <w:tcW w:type="dxa" w:w="1700"/>
            <w:tcMar>
              <w:top w:type="dxa" w:w="60"/>
              <w:left w:type="dxa" w:w="100"/>
              <w:bottom w:type="dxa" w:w="60"/>
              <w:right w:type="dxa" w:w="100"/>
            </w:tcMar>
            <w:vAlign w:val="center"/>
          </w:tcPr>
          <w:p>
            <w:r>
              <w:rPr>
                <w:b w:val="false"/>
                <w:bCs w:val="false"/>
                <w:color w:val="222222"/>
                <w:sz w:val="19"/>
                <w:szCs w:val="19"/>
              </w:rPr>
              <w:t xml:space="preserve">₹40,000</w:t>
            </w:r>
          </w:p>
        </w:tc>
        <w:tc>
          <w:tcPr>
            <w:tcW w:type="dxa" w:w="1700"/>
            <w:tcMar>
              <w:top w:type="dxa" w:w="60"/>
              <w:left w:type="dxa" w:w="100"/>
              <w:bottom w:type="dxa" w:w="60"/>
              <w:right w:type="dxa" w:w="100"/>
            </w:tcMar>
            <w:vAlign w:val="center"/>
          </w:tcPr>
          <w:p>
            <w:r>
              <w:rPr>
                <w:b w:val="false"/>
                <w:bCs w:val="false"/>
                <w:color w:val="222222"/>
                <w:sz w:val="19"/>
                <w:szCs w:val="19"/>
              </w:rPr>
              <w:t xml:space="preserve">₹38,000</w:t>
            </w:r>
          </w:p>
        </w:tc>
        <w:tc>
          <w:tcPr>
            <w:tcW w:type="dxa" w:w="1700"/>
            <w:tcMar>
              <w:top w:type="dxa" w:w="60"/>
              <w:left w:type="dxa" w:w="100"/>
              <w:bottom w:type="dxa" w:w="60"/>
              <w:right w:type="dxa" w:w="100"/>
            </w:tcMar>
            <w:vAlign w:val="center"/>
          </w:tcPr>
          <w:p>
            <w:r>
              <w:rPr>
                <w:b w:val="false"/>
                <w:bCs w:val="false"/>
                <w:color w:val="222222"/>
                <w:sz w:val="19"/>
                <w:szCs w:val="19"/>
              </w:rPr>
              <w:t xml:space="preserve">₹36,000</w:t>
            </w:r>
          </w:p>
        </w:tc>
        <w:tc>
          <w:tcPr>
            <w:tcW w:type="dxa" w:w="1700"/>
            <w:tcMar>
              <w:top w:type="dxa" w:w="60"/>
              <w:left w:type="dxa" w:w="100"/>
              <w:bottom w:type="dxa" w:w="60"/>
              <w:right w:type="dxa" w:w="100"/>
            </w:tcMar>
            <w:vAlign w:val="center"/>
          </w:tcPr>
          <w:p>
            <w:r>
              <w:rPr>
                <w:b w:val="false"/>
                <w:bCs w:val="false"/>
                <w:color w:val="222222"/>
                <w:sz w:val="19"/>
                <w:szCs w:val="19"/>
              </w:rPr>
              <w:t xml:space="preserve">₹34,000</w:t>
            </w:r>
          </w:p>
        </w:tc>
      </w:tr>
      <w:tr>
        <w:tc>
          <w:tcPr>
            <w:tcW w:type="dxa" w:w="2560"/>
            <w:tcMar>
              <w:top w:type="dxa" w:w="60"/>
              <w:left w:type="dxa" w:w="100"/>
              <w:bottom w:type="dxa" w:w="60"/>
              <w:right w:type="dxa" w:w="100"/>
            </w:tcMar>
            <w:vAlign w:val="center"/>
          </w:tcPr>
          <w:p>
            <w:r>
              <w:rPr>
                <w:b w:val="false"/>
                <w:bCs w:val="false"/>
                <w:color w:val="222222"/>
                <w:sz w:val="19"/>
                <w:szCs w:val="19"/>
              </w:rPr>
              <w:t xml:space="preserve">8-Seater Cabin</w:t>
            </w:r>
          </w:p>
        </w:tc>
        <w:tc>
          <w:tcPr>
            <w:tcW w:type="dxa" w:w="1700"/>
            <w:tcMar>
              <w:top w:type="dxa" w:w="60"/>
              <w:left w:type="dxa" w:w="100"/>
              <w:bottom w:type="dxa" w:w="60"/>
              <w:right w:type="dxa" w:w="100"/>
            </w:tcMar>
            <w:vAlign w:val="center"/>
          </w:tcPr>
          <w:p>
            <w:r>
              <w:rPr>
                <w:b w:val="false"/>
                <w:bCs w:val="false"/>
                <w:color w:val="222222"/>
                <w:sz w:val="19"/>
                <w:szCs w:val="19"/>
              </w:rPr>
              <w:t xml:space="preserve">₹80,000</w:t>
            </w:r>
          </w:p>
        </w:tc>
        <w:tc>
          <w:tcPr>
            <w:tcW w:type="dxa" w:w="1700"/>
            <w:tcMar>
              <w:top w:type="dxa" w:w="60"/>
              <w:left w:type="dxa" w:w="100"/>
              <w:bottom w:type="dxa" w:w="60"/>
              <w:right w:type="dxa" w:w="100"/>
            </w:tcMar>
            <w:vAlign w:val="center"/>
          </w:tcPr>
          <w:p>
            <w:r>
              <w:rPr>
                <w:b w:val="false"/>
                <w:bCs w:val="false"/>
                <w:color w:val="222222"/>
                <w:sz w:val="19"/>
                <w:szCs w:val="19"/>
              </w:rPr>
              <w:t xml:space="preserve">₹76,000</w:t>
            </w:r>
          </w:p>
        </w:tc>
        <w:tc>
          <w:tcPr>
            <w:tcW w:type="dxa" w:w="1700"/>
            <w:tcMar>
              <w:top w:type="dxa" w:w="60"/>
              <w:left w:type="dxa" w:w="100"/>
              <w:bottom w:type="dxa" w:w="60"/>
              <w:right w:type="dxa" w:w="100"/>
            </w:tcMar>
            <w:vAlign w:val="center"/>
          </w:tcPr>
          <w:p>
            <w:r>
              <w:rPr>
                <w:b w:val="false"/>
                <w:bCs w:val="false"/>
                <w:color w:val="222222"/>
                <w:sz w:val="19"/>
                <w:szCs w:val="19"/>
              </w:rPr>
              <w:t xml:space="preserve">₹72,000</w:t>
            </w:r>
          </w:p>
        </w:tc>
        <w:tc>
          <w:tcPr>
            <w:tcW w:type="dxa" w:w="1700"/>
            <w:tcMar>
              <w:top w:type="dxa" w:w="60"/>
              <w:left w:type="dxa" w:w="100"/>
              <w:bottom w:type="dxa" w:w="60"/>
              <w:right w:type="dxa" w:w="100"/>
            </w:tcMar>
            <w:vAlign w:val="center"/>
          </w:tcPr>
          <w:p>
            <w:r>
              <w:rPr>
                <w:b w:val="false"/>
                <w:bCs w:val="false"/>
                <w:color w:val="222222"/>
                <w:sz w:val="19"/>
                <w:szCs w:val="19"/>
              </w:rPr>
              <w:t xml:space="preserve">₹68,000</w:t>
            </w:r>
          </w:p>
        </w:tc>
      </w:tr>
      <w:tr>
        <w:tc>
          <w:tcPr>
            <w:tcW w:type="dxa" w:w="2560"/>
            <w:tcMar>
              <w:top w:type="dxa" w:w="60"/>
              <w:left w:type="dxa" w:w="100"/>
              <w:bottom w:type="dxa" w:w="60"/>
              <w:right w:type="dxa" w:w="100"/>
            </w:tcMar>
            <w:vAlign w:val="center"/>
          </w:tcPr>
          <w:p>
            <w:r>
              <w:rPr>
                <w:b w:val="false"/>
                <w:bCs w:val="false"/>
                <w:color w:val="222222"/>
                <w:sz w:val="19"/>
                <w:szCs w:val="19"/>
              </w:rPr>
              <w:t xml:space="preserve">Virtual Office</w:t>
            </w:r>
          </w:p>
        </w:tc>
        <w:tc>
          <w:tcPr>
            <w:tcW w:type="dxa" w:w="1700"/>
            <w:tcMar>
              <w:top w:type="dxa" w:w="60"/>
              <w:left w:type="dxa" w:w="100"/>
              <w:bottom w:type="dxa" w:w="60"/>
              <w:right w:type="dxa" w:w="100"/>
            </w:tcMar>
            <w:vAlign w:val="center"/>
          </w:tcPr>
          <w:p>
            <w:r>
              <w:rPr>
                <w:b w:val="false"/>
                <w:bCs w:val="false"/>
                <w:color w:val="222222"/>
                <w:sz w:val="19"/>
                <w:szCs w:val="19"/>
              </w:rPr>
              <w:t xml:space="preserve">₹2,500</w:t>
            </w:r>
          </w:p>
        </w:tc>
        <w:tc>
          <w:tcPr>
            <w:tcW w:type="dxa" w:w="1700"/>
            <w:tcMar>
              <w:top w:type="dxa" w:w="60"/>
              <w:left w:type="dxa" w:w="100"/>
              <w:bottom w:type="dxa" w:w="60"/>
              <w:right w:type="dxa" w:w="100"/>
            </w:tcMar>
            <w:vAlign w:val="center"/>
          </w:tcPr>
          <w:p>
            <w:r>
              <w:rPr>
                <w:b w:val="false"/>
                <w:bCs w:val="false"/>
                <w:color w:val="222222"/>
                <w:sz w:val="19"/>
                <w:szCs w:val="19"/>
              </w:rPr>
              <w:t xml:space="preserve">₹2,375</w:t>
            </w:r>
          </w:p>
        </w:tc>
        <w:tc>
          <w:tcPr>
            <w:tcW w:type="dxa" w:w="1700"/>
            <w:tcMar>
              <w:top w:type="dxa" w:w="60"/>
              <w:left w:type="dxa" w:w="100"/>
              <w:bottom w:type="dxa" w:w="60"/>
              <w:right w:type="dxa" w:w="100"/>
            </w:tcMar>
            <w:vAlign w:val="center"/>
          </w:tcPr>
          <w:p>
            <w:r>
              <w:rPr>
                <w:b w:val="false"/>
                <w:bCs w:val="false"/>
                <w:color w:val="222222"/>
                <w:sz w:val="19"/>
                <w:szCs w:val="19"/>
              </w:rPr>
              <w:t xml:space="preserve">₹2,250</w:t>
            </w:r>
          </w:p>
        </w:tc>
        <w:tc>
          <w:tcPr>
            <w:tcW w:type="dxa" w:w="1700"/>
            <w:tcMar>
              <w:top w:type="dxa" w:w="60"/>
              <w:left w:type="dxa" w:w="100"/>
              <w:bottom w:type="dxa" w:w="60"/>
              <w:right w:type="dxa" w:w="100"/>
            </w:tcMar>
            <w:vAlign w:val="center"/>
          </w:tcPr>
          <w:p>
            <w:r>
              <w:rPr>
                <w:b w:val="false"/>
                <w:bCs w:val="false"/>
                <w:color w:val="222222"/>
                <w:sz w:val="19"/>
                <w:szCs w:val="19"/>
              </w:rPr>
              <w:t xml:space="preserve">₹2,125</w:t>
            </w:r>
          </w:p>
        </w:tc>
      </w:tr>
    </w:tbl>
    <w:p>
      <w:pPr>
        <w:pStyle w:val="Heading3"/>
        <w:spacing w:after="90" w:before="180"/>
      </w:pPr>
      <w:r>
        <w:rPr>
          <w:b/>
          <w:bCs/>
          <w:color w:val="241F19"/>
          <w:sz w:val="21"/>
          <w:szCs w:val="21"/>
        </w:rPr>
        <w:t xml:space="preserve">Free Meeting Room Credit by Duration Tier</w:t>
      </w:r>
    </w:p>
    <w:p>
      <w:pPr>
        <w:spacing w:after="140"/>
      </w:pPr>
      <w:r>
        <w:rPr>
          <w:b w:val="false"/>
          <w:bCs w:val="false"/>
          <w:i w:val="false"/>
          <w:iCs w:val="false"/>
          <w:color w:val="333333"/>
          <w:sz w:val="21"/>
          <w:szCs w:val="21"/>
        </w:rPr>
        <w:t xml:space="preserve">This is the second pricing dimension — it applies on top of whichever space type is chosen, based on duration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260"/>
        <w:gridCol w:w="2540"/>
        <w:gridCol w:w="2000"/>
      </w:tblGrid>
      <w:tr>
        <w:trPr>
          <w:tblHeader/>
        </w:trPr>
        <w:tc>
          <w:tcPr>
            <w:tcW w:type="dxa" w:w="2560"/>
            <w:shd w:fill="241F19" w:val="clear"/>
            <w:tcMar>
              <w:top w:type="dxa" w:w="60"/>
              <w:left w:type="dxa" w:w="100"/>
              <w:bottom w:type="dxa" w:w="60"/>
              <w:right w:type="dxa" w:w="100"/>
            </w:tcMar>
            <w:vAlign w:val="center"/>
          </w:tcPr>
          <w:p>
            <w:r>
              <w:rPr>
                <w:b/>
                <w:bCs/>
                <w:color w:val="FFFFFF"/>
                <w:sz w:val="19"/>
                <w:szCs w:val="19"/>
              </w:rPr>
              <w:t xml:space="preserve">Duration</w:t>
            </w:r>
          </w:p>
        </w:tc>
        <w:tc>
          <w:tcPr>
            <w:tcW w:type="dxa" w:w="2260"/>
            <w:shd w:fill="241F19" w:val="clear"/>
            <w:tcMar>
              <w:top w:type="dxa" w:w="60"/>
              <w:left w:type="dxa" w:w="100"/>
              <w:bottom w:type="dxa" w:w="60"/>
              <w:right w:type="dxa" w:w="100"/>
            </w:tcMar>
            <w:vAlign w:val="center"/>
          </w:tcPr>
          <w:p>
            <w:r>
              <w:rPr>
                <w:b/>
                <w:bCs/>
                <w:color w:val="FFFFFF"/>
                <w:sz w:val="19"/>
                <w:szCs w:val="19"/>
              </w:rPr>
              <w:t xml:space="preserve">Free Hours/Month</w:t>
            </w:r>
          </w:p>
        </w:tc>
        <w:tc>
          <w:tcPr>
            <w:tcW w:type="dxa" w:w="2540"/>
            <w:shd w:fill="241F19" w:val="clear"/>
            <w:tcMar>
              <w:top w:type="dxa" w:w="60"/>
              <w:left w:type="dxa" w:w="100"/>
              <w:bottom w:type="dxa" w:w="60"/>
              <w:right w:type="dxa" w:w="100"/>
            </w:tcMar>
            <w:vAlign w:val="center"/>
          </w:tcPr>
          <w:p>
            <w:r>
              <w:rPr>
                <w:b/>
                <w:bCs/>
                <w:color w:val="FFFFFF"/>
                <w:sz w:val="19"/>
                <w:szCs w:val="19"/>
              </w:rPr>
              <w:t xml:space="preserve">Rooms Covered</w:t>
            </w:r>
          </w:p>
        </w:tc>
        <w:tc>
          <w:tcPr>
            <w:tcW w:type="dxa" w:w="2000"/>
            <w:shd w:fill="241F19" w:val="clear"/>
            <w:tcMar>
              <w:top w:type="dxa" w:w="60"/>
              <w:left w:type="dxa" w:w="100"/>
              <w:bottom w:type="dxa" w:w="60"/>
              <w:right w:type="dxa" w:w="100"/>
            </w:tcMar>
            <w:vAlign w:val="center"/>
          </w:tcPr>
          <w:p>
            <w:r>
              <w:rPr>
                <w:b/>
                <w:bCs/>
                <w:color w:val="FFFFFF"/>
                <w:sz w:val="19"/>
                <w:szCs w:val="19"/>
              </w:rPr>
              <w:t xml:space="preserve">Rate After Credit</w:t>
            </w:r>
          </w:p>
        </w:tc>
      </w:tr>
      <w:tr>
        <w:tc>
          <w:tcPr>
            <w:tcW w:type="dxa" w:w="2560"/>
            <w:tcMar>
              <w:top w:type="dxa" w:w="60"/>
              <w:left w:type="dxa" w:w="100"/>
              <w:bottom w:type="dxa" w:w="60"/>
              <w:right w:type="dxa" w:w="100"/>
            </w:tcMar>
            <w:vAlign w:val="center"/>
          </w:tcPr>
          <w:p>
            <w:r>
              <w:rPr>
                <w:b w:val="false"/>
                <w:bCs w:val="false"/>
                <w:color w:val="222222"/>
                <w:sz w:val="19"/>
                <w:szCs w:val="19"/>
              </w:rPr>
              <w:t xml:space="preserve">Monthly (no commitment)</w:t>
            </w:r>
          </w:p>
        </w:tc>
        <w:tc>
          <w:tcPr>
            <w:tcW w:type="dxa" w:w="2260"/>
            <w:tcMar>
              <w:top w:type="dxa" w:w="60"/>
              <w:left w:type="dxa" w:w="100"/>
              <w:bottom w:type="dxa" w:w="60"/>
              <w:right w:type="dxa" w:w="100"/>
            </w:tcMar>
            <w:vAlign w:val="center"/>
          </w:tcPr>
          <w:p>
            <w:r>
              <w:rPr>
                <w:b w:val="false"/>
                <w:bCs w:val="false"/>
                <w:color w:val="222222"/>
                <w:sz w:val="19"/>
                <w:szCs w:val="19"/>
              </w:rPr>
              <w:t xml:space="preserve">0 hours</w:t>
            </w:r>
          </w:p>
        </w:tc>
        <w:tc>
          <w:tcPr>
            <w:tcW w:type="dxa" w:w="2540"/>
            <w:tcMar>
              <w:top w:type="dxa" w:w="60"/>
              <w:left w:type="dxa" w:w="100"/>
              <w:bottom w:type="dxa" w:w="60"/>
              <w:right w:type="dxa" w:w="100"/>
            </w:tcMar>
            <w:vAlign w:val="center"/>
          </w:tcPr>
          <w:p>
            <w:r>
              <w:rPr>
                <w:b w:val="false"/>
                <w:bCs w:val="false"/>
                <w:color w:val="222222"/>
                <w:sz w:val="19"/>
                <w:szCs w:val="19"/>
              </w:rPr>
              <w:t xml:space="preserve">—</w:t>
            </w:r>
          </w:p>
        </w:tc>
        <w:tc>
          <w:tcPr>
            <w:tcW w:type="dxa" w:w="2000"/>
            <w:tcMar>
              <w:top w:type="dxa" w:w="60"/>
              <w:left w:type="dxa" w:w="100"/>
              <w:bottom w:type="dxa" w:w="60"/>
              <w:right w:type="dxa" w:w="100"/>
            </w:tcMar>
            <w:vAlign w:val="center"/>
          </w:tcPr>
          <w:p>
            <w:r>
              <w:rPr>
                <w:b w:val="false"/>
                <w:bCs w:val="false"/>
                <w:color w:val="222222"/>
                <w:sz w:val="19"/>
                <w:szCs w:val="19"/>
              </w:rPr>
              <w:t xml:space="preserve">Standard rate</w:t>
            </w:r>
          </w:p>
        </w:tc>
      </w:tr>
      <w:tr>
        <w:tc>
          <w:tcPr>
            <w:tcW w:type="dxa" w:w="2560"/>
            <w:tcMar>
              <w:top w:type="dxa" w:w="60"/>
              <w:left w:type="dxa" w:w="100"/>
              <w:bottom w:type="dxa" w:w="60"/>
              <w:right w:type="dxa" w:w="100"/>
            </w:tcMar>
            <w:vAlign w:val="center"/>
          </w:tcPr>
          <w:p>
            <w:r>
              <w:rPr>
                <w:b w:val="false"/>
                <w:bCs w:val="false"/>
                <w:color w:val="222222"/>
                <w:sz w:val="19"/>
                <w:szCs w:val="19"/>
              </w:rPr>
              <w:t xml:space="preserve">3-Month</w:t>
            </w:r>
          </w:p>
        </w:tc>
        <w:tc>
          <w:tcPr>
            <w:tcW w:type="dxa" w:w="2260"/>
            <w:tcMar>
              <w:top w:type="dxa" w:w="60"/>
              <w:left w:type="dxa" w:w="100"/>
              <w:bottom w:type="dxa" w:w="60"/>
              <w:right w:type="dxa" w:w="100"/>
            </w:tcMar>
            <w:vAlign w:val="center"/>
          </w:tcPr>
          <w:p>
            <w:r>
              <w:rPr>
                <w:b w:val="false"/>
                <w:bCs w:val="false"/>
                <w:color w:val="222222"/>
                <w:sz w:val="19"/>
                <w:szCs w:val="19"/>
              </w:rPr>
              <w:t xml:space="preserve">2 hours</w:t>
            </w:r>
          </w:p>
        </w:tc>
        <w:tc>
          <w:tcPr>
            <w:tcW w:type="dxa" w:w="2540"/>
            <w:tcMar>
              <w:top w:type="dxa" w:w="60"/>
              <w:left w:type="dxa" w:w="100"/>
              <w:bottom w:type="dxa" w:w="60"/>
              <w:right w:type="dxa" w:w="100"/>
            </w:tcMar>
            <w:vAlign w:val="center"/>
          </w:tcPr>
          <w:p>
            <w:r>
              <w:rPr>
                <w:b w:val="false"/>
                <w:bCs w:val="false"/>
                <w:color w:val="222222"/>
                <w:sz w:val="19"/>
                <w:szCs w:val="19"/>
              </w:rPr>
              <w:t xml:space="preserve">4-Seater only</w:t>
            </w:r>
          </w:p>
        </w:tc>
        <w:tc>
          <w:tcPr>
            <w:tcW w:type="dxa" w:w="2000"/>
            <w:tcMar>
              <w:top w:type="dxa" w:w="60"/>
              <w:left w:type="dxa" w:w="100"/>
              <w:bottom w:type="dxa" w:w="60"/>
              <w:right w:type="dxa" w:w="100"/>
            </w:tcMar>
            <w:vAlign w:val="center"/>
          </w:tcPr>
          <w:p>
            <w:r>
              <w:rPr>
                <w:b w:val="false"/>
                <w:bCs w:val="false"/>
                <w:color w:val="222222"/>
                <w:sz w:val="19"/>
                <w:szCs w:val="19"/>
              </w:rPr>
              <w:t xml:space="preserve">Standard rate</w:t>
            </w:r>
          </w:p>
        </w:tc>
      </w:tr>
      <w:tr>
        <w:tc>
          <w:tcPr>
            <w:tcW w:type="dxa" w:w="2560"/>
            <w:tcMar>
              <w:top w:type="dxa" w:w="60"/>
              <w:left w:type="dxa" w:w="100"/>
              <w:bottom w:type="dxa" w:w="60"/>
              <w:right w:type="dxa" w:w="100"/>
            </w:tcMar>
            <w:vAlign w:val="center"/>
          </w:tcPr>
          <w:p>
            <w:r>
              <w:rPr>
                <w:b w:val="false"/>
                <w:bCs w:val="false"/>
                <w:color w:val="222222"/>
                <w:sz w:val="19"/>
                <w:szCs w:val="19"/>
              </w:rPr>
              <w:t xml:space="preserve">6-Month</w:t>
            </w:r>
          </w:p>
        </w:tc>
        <w:tc>
          <w:tcPr>
            <w:tcW w:type="dxa" w:w="2260"/>
            <w:tcMar>
              <w:top w:type="dxa" w:w="60"/>
              <w:left w:type="dxa" w:w="100"/>
              <w:bottom w:type="dxa" w:w="60"/>
              <w:right w:type="dxa" w:w="100"/>
            </w:tcMar>
            <w:vAlign w:val="center"/>
          </w:tcPr>
          <w:p>
            <w:r>
              <w:rPr>
                <w:b w:val="false"/>
                <w:bCs w:val="false"/>
                <w:color w:val="222222"/>
                <w:sz w:val="19"/>
                <w:szCs w:val="19"/>
              </w:rPr>
              <w:t xml:space="preserve">4 hours</w:t>
            </w:r>
          </w:p>
        </w:tc>
        <w:tc>
          <w:tcPr>
            <w:tcW w:type="dxa" w:w="2540"/>
            <w:tcMar>
              <w:top w:type="dxa" w:w="60"/>
              <w:left w:type="dxa" w:w="100"/>
              <w:bottom w:type="dxa" w:w="60"/>
              <w:right w:type="dxa" w:w="100"/>
            </w:tcMar>
            <w:vAlign w:val="center"/>
          </w:tcPr>
          <w:p>
            <w:r>
              <w:rPr>
                <w:b w:val="false"/>
                <w:bCs w:val="false"/>
                <w:color w:val="222222"/>
                <w:sz w:val="19"/>
                <w:szCs w:val="19"/>
              </w:rPr>
              <w:t xml:space="preserve">Any room type</w:t>
            </w:r>
          </w:p>
        </w:tc>
        <w:tc>
          <w:tcPr>
            <w:tcW w:type="dxa" w:w="2000"/>
            <w:tcMar>
              <w:top w:type="dxa" w:w="60"/>
              <w:left w:type="dxa" w:w="100"/>
              <w:bottom w:type="dxa" w:w="60"/>
              <w:right w:type="dxa" w:w="100"/>
            </w:tcMar>
            <w:vAlign w:val="center"/>
          </w:tcPr>
          <w:p>
            <w:r>
              <w:rPr>
                <w:b w:val="false"/>
                <w:bCs w:val="false"/>
                <w:color w:val="222222"/>
                <w:sz w:val="19"/>
                <w:szCs w:val="19"/>
              </w:rPr>
              <w:t xml:space="preserve">10% off standard</w:t>
            </w:r>
          </w:p>
        </w:tc>
      </w:tr>
      <w:tr>
        <w:tc>
          <w:tcPr>
            <w:tcW w:type="dxa" w:w="2560"/>
            <w:tcMar>
              <w:top w:type="dxa" w:w="60"/>
              <w:left w:type="dxa" w:w="100"/>
              <w:bottom w:type="dxa" w:w="60"/>
              <w:right w:type="dxa" w:w="100"/>
            </w:tcMar>
            <w:vAlign w:val="center"/>
          </w:tcPr>
          <w:p>
            <w:r>
              <w:rPr>
                <w:b w:val="false"/>
                <w:bCs w:val="false"/>
                <w:color w:val="222222"/>
                <w:sz w:val="19"/>
                <w:szCs w:val="19"/>
              </w:rPr>
              <w:t xml:space="preserve">12-Month</w:t>
            </w:r>
          </w:p>
        </w:tc>
        <w:tc>
          <w:tcPr>
            <w:tcW w:type="dxa" w:w="2260"/>
            <w:tcMar>
              <w:top w:type="dxa" w:w="60"/>
              <w:left w:type="dxa" w:w="100"/>
              <w:bottom w:type="dxa" w:w="60"/>
              <w:right w:type="dxa" w:w="100"/>
            </w:tcMar>
            <w:vAlign w:val="center"/>
          </w:tcPr>
          <w:p>
            <w:r>
              <w:rPr>
                <w:b w:val="false"/>
                <w:bCs w:val="false"/>
                <w:color w:val="222222"/>
                <w:sz w:val="19"/>
                <w:szCs w:val="19"/>
              </w:rPr>
              <w:t xml:space="preserve">8 hours</w:t>
            </w:r>
          </w:p>
        </w:tc>
        <w:tc>
          <w:tcPr>
            <w:tcW w:type="dxa" w:w="2540"/>
            <w:tcMar>
              <w:top w:type="dxa" w:w="60"/>
              <w:left w:type="dxa" w:w="100"/>
              <w:bottom w:type="dxa" w:w="60"/>
              <w:right w:type="dxa" w:w="100"/>
            </w:tcMar>
            <w:vAlign w:val="center"/>
          </w:tcPr>
          <w:p>
            <w:r>
              <w:rPr>
                <w:b w:val="false"/>
                <w:bCs w:val="false"/>
                <w:color w:val="222222"/>
                <w:sz w:val="19"/>
                <w:szCs w:val="19"/>
              </w:rPr>
              <w:t xml:space="preserve">Any room, incl. Board Room</w:t>
            </w:r>
          </w:p>
        </w:tc>
        <w:tc>
          <w:tcPr>
            <w:tcW w:type="dxa" w:w="2000"/>
            <w:tcMar>
              <w:top w:type="dxa" w:w="60"/>
              <w:left w:type="dxa" w:w="100"/>
              <w:bottom w:type="dxa" w:w="60"/>
              <w:right w:type="dxa" w:w="100"/>
            </w:tcMar>
            <w:vAlign w:val="center"/>
          </w:tcPr>
          <w:p>
            <w:r>
              <w:rPr>
                <w:b w:val="false"/>
                <w:bCs w:val="false"/>
                <w:color w:val="222222"/>
                <w:sz w:val="19"/>
                <w:szCs w:val="19"/>
              </w:rPr>
              <w:t xml:space="preserve">15% off standard</w:t>
            </w:r>
          </w:p>
        </w:tc>
      </w:tr>
    </w:tbl>
    <w:p>
      <w:pPr>
        <w:pBdr>
          <w:top w:val="single" w:color="9C6500" w:sz="6" w:space="4"/>
          <w:bottom w:val="single" w:color="9C6500" w:sz="6" w:space="4"/>
          <w:left w:val="single" w:color="9C6500" w:sz="6" w:space="4"/>
          <w:right w:val="single" w:color="9C6500" w:sz="6" w:space="4"/>
        </w:pBdr>
        <w:shd w:fill="FFEB9C" w:val="clear"/>
        <w:spacing w:after="160" w:before="100"/>
      </w:pPr>
      <w:r>
        <w:rPr>
          <w:b/>
          <w:bCs/>
          <w:color w:val="6B4E00"/>
          <w:sz w:val="20"/>
          <w:szCs w:val="20"/>
        </w:rPr>
        <w:t xml:space="preserve">NOTE: Free hours do NOT roll over month to month. This must be enforced by a monthly reset job, not just displayed — see Section 4.3 and Section 5.2.</w:t>
      </w:r>
    </w:p>
    <w:p>
      <w:pPr>
        <w:pStyle w:val="Heading3"/>
        <w:spacing w:after="90" w:before="180"/>
      </w:pPr>
      <w:r>
        <w:rPr>
          <w:b/>
          <w:bCs/>
          <w:color w:val="241F19"/>
          <w:sz w:val="21"/>
          <w:szCs w:val="21"/>
        </w:rPr>
        <w:t xml:space="preserve">Other benefits every membership must present (see full detail in Section 3)</w:t>
      </w:r>
    </w:p>
    <w:p>
      <w:pPr>
        <w:pStyle w:val="ListParagraph"/>
        <w:numPr>
          <w:ilvl w:val="0"/>
          <w:numId w:val="1"/>
        </w:numPr>
        <w:spacing w:after="60"/>
      </w:pPr>
      <w:r>
        <w:rPr>
          <w:sz w:val="21"/>
          <w:szCs w:val="21"/>
        </w:rPr>
        <w:t xml:space="preserve">Base benefits for all members: Wi-Fi, power backup, complimentary tea/coffee, community lounge access, limited free printing/scanning, GST invoicing.</w:t>
      </w:r>
    </w:p>
    <w:p>
      <w:pPr>
        <w:pStyle w:val="ListParagraph"/>
        <w:numPr>
          <w:ilvl w:val="0"/>
          <w:numId w:val="1"/>
        </w:numPr>
        <w:spacing w:after="60"/>
      </w:pPr>
      <w:r>
        <w:rPr>
          <w:sz w:val="21"/>
          <w:szCs w:val="21"/>
        </w:rPr>
        <w:t xml:space="preserve">3-Month adds: 1 complimentary guest day pass, free locker access.</w:t>
      </w:r>
    </w:p>
    <w:p>
      <w:pPr>
        <w:pStyle w:val="ListParagraph"/>
        <w:numPr>
          <w:ilvl w:val="0"/>
          <w:numId w:val="1"/>
        </w:numPr>
        <w:spacing w:after="60"/>
      </w:pPr>
      <w:r>
        <w:rPr>
          <w:sz w:val="21"/>
          <w:szCs w:val="21"/>
        </w:rPr>
        <w:t xml:space="preserve">6-Month adds: free business address usage, priority booking, 10% off extra meeting room bookings.</w:t>
      </w:r>
    </w:p>
    <w:p>
      <w:pPr>
        <w:pStyle w:val="ListParagraph"/>
        <w:numPr>
          <w:ilvl w:val="0"/>
          <w:numId w:val="1"/>
        </w:numPr>
        <w:spacing w:after="60"/>
      </w:pPr>
      <w:r>
        <w:rPr>
          <w:sz w:val="21"/>
          <w:szCs w:val="21"/>
        </w:rPr>
        <w:t xml:space="preserve">12-Month adds: dedicated support manager, 1 free space upgrade during the term, 1 free guest pass per month, 15% off extra bookings, doubled print quota, community event invites, up to 15 days pause per year.</w:t>
      </w:r>
    </w:p>
    <w:p>
      <w:pPr>
        <w:pStyle w:val="ListParagraph"/>
        <w:numPr>
          <w:ilvl w:val="0"/>
          <w:numId w:val="1"/>
        </w:numPr>
        <w:spacing w:after="60"/>
      </w:pPr>
      <w:r>
        <w:rPr>
          <w:sz w:val="21"/>
          <w:szCs w:val="21"/>
        </w:rPr>
        <w:t xml:space="preserve">Cabin-only add-ons (4-Seater &amp; 8-Seater, any duration): nameplate/branding, mail handling, free phone booth access.</w:t>
      </w:r>
    </w:p>
    <w:p>
      <w:r>
        <w:br w:type="page"/>
      </w:r>
    </w:p>
    <w:p>
      <w:pPr>
        <w:pStyle w:val="Heading1"/>
        <w:pBdr>
          <w:bottom w:val="single" w:color="CC9A3D" w:sz="8" w:space="4"/>
        </w:pBdr>
        <w:spacing w:after="150" w:before="340"/>
      </w:pPr>
      <w:r>
        <w:rPr>
          <w:b/>
          <w:bCs/>
          <w:color w:val="241F19"/>
          <w:sz w:val="30"/>
          <w:szCs w:val="30"/>
        </w:rPr>
        <w:t xml:space="preserve">3. Screens — What It Should Look Like</w:t>
      </w:r>
    </w:p>
    <w:p>
      <w:pPr>
        <w:spacing w:after="140"/>
      </w:pPr>
      <w:r>
        <w:rPr>
          <w:b w:val="false"/>
          <w:bCs w:val="false"/>
          <w:i w:val="false"/>
          <w:iCs w:val="false"/>
          <w:color w:val="333333"/>
          <w:sz w:val="21"/>
          <w:szCs w:val="21"/>
        </w:rPr>
        <w:t xml:space="preserve">Theme: warm cream background, gold/amber accent, white cards with soft rounded corners, Fraunces serif for headings, Manrope sans-serif for body text — consistent with the rest of the Regalis WorkSpace app. Colors: background #FBF6EC, card #FFFFFF, border #EEE4D2, gold accent #CC9A3D, gold-deep #B8842B, ink/text #241F19, muted grey #8C8272.</w:t>
      </w:r>
    </w:p>
    <w:p>
      <w:pPr>
        <w:pStyle w:val="Heading2"/>
        <w:spacing w:after="120" w:before="260"/>
      </w:pPr>
      <w:r>
        <w:rPr>
          <w:b/>
          <w:bCs/>
          <w:color w:val="B8842B"/>
          <w:sz w:val="24"/>
          <w:szCs w:val="24"/>
        </w:rPr>
        <w:t xml:space="preserve">3.1 Membership — Choose Your Plan (Customer)</w:t>
      </w:r>
    </w:p>
    <w:p>
      <w:pPr>
        <w:spacing w:after="140"/>
      </w:pPr>
      <w:r>
        <w:rPr>
          <w:b w:val="false"/>
          <w:bCs w:val="false"/>
          <w:i w:val="false"/>
          <w:iCs w:val="false"/>
          <w:color w:val="333333"/>
          <w:sz w:val="21"/>
          <w:szCs w:val="21"/>
        </w:rPr>
        <w:t xml:space="preserve">Entry point from the hamburger menu. Two-step selector (space type, then duration) since pricing is a grid, followed by a benefits summary and purchase panel.</w:t>
      </w:r>
    </w:p>
    <w:p>
      <w:pPr>
        <w:spacing w:after="40" w:before="120"/>
        <w:jc w:val="center"/>
      </w:pPr>
      <w:r>
        <w:drawing>
          <wp:inline distT="0" distB="0" distL="0" distR="0">
            <wp:extent cx="5334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429125"/>
                    </a:xfrm>
                    <a:prstGeom prst="rect">
                      <a:avLst/>
                    </a:prstGeom>
                  </pic:spPr>
                </pic:pic>
              </a:graphicData>
            </a:graphic>
          </wp:inline>
        </w:drawing>
      </w:r>
    </w:p>
    <w:p>
      <w:pPr>
        <w:spacing w:after="220"/>
        <w:jc w:val="center"/>
      </w:pPr>
      <w:r>
        <w:rPr>
          <w:i/>
          <w:iCs/>
          <w:color w:val="666666"/>
          <w:sz w:val="18"/>
          <w:szCs w:val="18"/>
        </w:rPr>
        <w:t xml:space="preserve">Reference: Space type cards, duration tabs with live pricing, included benefits, and purchase summary</w:t>
      </w:r>
    </w:p>
    <w:p>
      <w:pPr>
        <w:pStyle w:val="ListParagraph"/>
        <w:numPr>
          <w:ilvl w:val="0"/>
          <w:numId w:val="1"/>
        </w:numPr>
        <w:spacing w:after="60"/>
      </w:pPr>
      <w:r>
        <w:rPr>
          <w:sz w:val="21"/>
          <w:szCs w:val="21"/>
        </w:rPr>
        <w:t xml:space="preserve">Step 1 — Space Type: 5 cards (Open/Hot Desk, Dedicated Desk, 4-Seater Cabin, 8-Seater Cabin, Virtual Office), each showing its cheapest available rate ("From ₹X/mo", i.e. the 12-month rate) to anchor value.</w:t>
      </w:r>
    </w:p>
    <w:p>
      <w:pPr>
        <w:pStyle w:val="ListParagraph"/>
        <w:numPr>
          <w:ilvl w:val="0"/>
          <w:numId w:val="1"/>
        </w:numPr>
        <w:spacing w:after="60"/>
      </w:pPr>
      <w:r>
        <w:rPr>
          <w:sz w:val="21"/>
          <w:szCs w:val="21"/>
        </w:rPr>
        <w:t xml:space="preserve">Step 2 — Duration: 4 tabs (Monthly, 3, 6, 12 Months). Each tab shows the effective monthly rate for the CURRENTLY selected space type and the rupee amount saved vs. paying monthly. Recompute immediately when space type changes.</w:t>
      </w:r>
    </w:p>
    <w:p>
      <w:pPr>
        <w:pStyle w:val="ListParagraph"/>
        <w:numPr>
          <w:ilvl w:val="0"/>
          <w:numId w:val="1"/>
        </w:numPr>
        <w:spacing w:after="60"/>
      </w:pPr>
      <w:r>
        <w:rPr>
          <w:sz w:val="21"/>
          <w:szCs w:val="21"/>
        </w:rPr>
        <w:t xml:space="preserve">"What's Included" panel: dynamically lists the benefits unlocked by the selected duration tier (pulls from the benefit rules in Section 2).</w:t>
      </w:r>
    </w:p>
    <w:p>
      <w:pPr>
        <w:pStyle w:val="ListParagraph"/>
        <w:numPr>
          <w:ilvl w:val="0"/>
          <w:numId w:val="1"/>
        </w:numPr>
        <w:spacing w:after="60"/>
      </w:pPr>
      <w:r>
        <w:rPr>
          <w:sz w:val="21"/>
          <w:szCs w:val="21"/>
        </w:rPr>
        <w:t xml:space="preserve">Purchase Summary: space type, duration, monthly rate, full-term total, tax, total due today — sticky on scroll, same pattern as Book a Space and Day Pass.</w:t>
      </w:r>
    </w:p>
    <w:p>
      <w:pPr>
        <w:pStyle w:val="Heading2"/>
        <w:spacing w:after="120" w:before="260"/>
      </w:pPr>
      <w:r>
        <w:rPr>
          <w:b/>
          <w:bCs/>
          <w:color w:val="B8842B"/>
          <w:sz w:val="24"/>
          <w:szCs w:val="24"/>
        </w:rPr>
        <w:t xml:space="preserve">3.2 My Membership — Dashboard (Customer)</w:t>
      </w:r>
    </w:p>
    <w:p>
      <w:pPr>
        <w:spacing w:after="140"/>
      </w:pPr>
      <w:r>
        <w:rPr>
          <w:b w:val="false"/>
          <w:bCs w:val="false"/>
          <w:i w:val="false"/>
          <w:iCs w:val="false"/>
          <w:color w:val="333333"/>
          <w:sz w:val="21"/>
          <w:szCs w:val="21"/>
        </w:rPr>
        <w:t xml:space="preserve">New screen — shows the customer's active plan and, critically, how much of their monthly meeting-room credit they've used. This is the screen customers will check most often.</w:t>
      </w:r>
    </w:p>
    <w:p>
      <w:pPr>
        <w:spacing w:after="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00350"/>
                    </a:xfrm>
                    <a:prstGeom prst="rect">
                      <a:avLst/>
                    </a:prstGeom>
                  </pic:spPr>
                </pic:pic>
              </a:graphicData>
            </a:graphic>
          </wp:inline>
        </w:drawing>
      </w:r>
    </w:p>
    <w:p>
      <w:pPr>
        <w:spacing w:after="220"/>
        <w:jc w:val="center"/>
      </w:pPr>
      <w:r>
        <w:rPr>
          <w:i/>
          <w:iCs/>
          <w:color w:val="666666"/>
          <w:sz w:val="18"/>
          <w:szCs w:val="18"/>
        </w:rPr>
        <w:t xml:space="preserve">Reference: Active plan hero, meeting-room credit progress bar, guest pass usage, and benefits list</w:t>
      </w:r>
    </w:p>
    <w:p>
      <w:pPr>
        <w:pStyle w:val="ListParagraph"/>
        <w:numPr>
          <w:ilvl w:val="0"/>
          <w:numId w:val="1"/>
        </w:numPr>
        <w:spacing w:after="60"/>
      </w:pPr>
      <w:r>
        <w:rPr>
          <w:sz w:val="21"/>
          <w:szCs w:val="21"/>
        </w:rPr>
        <w:t xml:space="preserve">Hero card (dark, gold accent): plan name (space type + duration), member-since date, renewal date, monthly rate, and a status pill ("Renews in N days" once within the renewal window).</w:t>
      </w:r>
    </w:p>
    <w:p>
      <w:pPr>
        <w:pStyle w:val="ListParagraph"/>
        <w:numPr>
          <w:ilvl w:val="0"/>
          <w:numId w:val="1"/>
        </w:numPr>
        <w:spacing w:after="60"/>
      </w:pPr>
      <w:r>
        <w:rPr>
          <w:sz w:val="21"/>
          <w:szCs w:val="21"/>
        </w:rPr>
        <w:t xml:space="preserve">Meeting Room Credit progress bar: hours used vs. total free hours this month, with a note that unused hours don't roll over.</w:t>
      </w:r>
    </w:p>
    <w:p>
      <w:pPr>
        <w:pStyle w:val="ListParagraph"/>
        <w:numPr>
          <w:ilvl w:val="0"/>
          <w:numId w:val="1"/>
        </w:numPr>
        <w:spacing w:after="60"/>
      </w:pPr>
      <w:r>
        <w:rPr>
          <w:sz w:val="21"/>
          <w:szCs w:val="21"/>
        </w:rPr>
        <w:t xml:space="preserve">Guest Day Pass usage (for 3-month+ plans): same progress-bar pattern.</w:t>
      </w:r>
    </w:p>
    <w:p>
      <w:pPr>
        <w:pStyle w:val="ListParagraph"/>
        <w:numPr>
          <w:ilvl w:val="0"/>
          <w:numId w:val="1"/>
        </w:numPr>
        <w:spacing w:after="60"/>
      </w:pPr>
      <w:r>
        <w:rPr>
          <w:sz w:val="21"/>
          <w:szCs w:val="21"/>
        </w:rPr>
        <w:t xml:space="preserve">Benefits list for their current tier, plus "Renew Plan" and "Upgrade Plan" buttons.</w:t>
      </w:r>
    </w:p>
    <w:p>
      <w:pPr>
        <w:pStyle w:val="Heading2"/>
        <w:spacing w:after="120" w:before="260"/>
      </w:pPr>
      <w:r>
        <w:rPr>
          <w:b/>
          <w:bCs/>
          <w:color w:val="B8842B"/>
          <w:sz w:val="24"/>
          <w:szCs w:val="24"/>
        </w:rPr>
        <w:t xml:space="preserve">3.3 Admin — Membership Settings</w:t>
      </w:r>
    </w:p>
    <w:p>
      <w:pPr>
        <w:spacing w:after="140"/>
      </w:pPr>
      <w:r>
        <w:rPr>
          <w:b w:val="false"/>
          <w:bCs w:val="false"/>
          <w:i w:val="false"/>
          <w:iCs w:val="false"/>
          <w:color w:val="333333"/>
          <w:sz w:val="21"/>
          <w:szCs w:val="21"/>
        </w:rPr>
        <w:t xml:space="preserve">Three stacked tables: the pricing grid, the duration-tier benefit rules, and the list of currently active members.</w:t>
      </w:r>
    </w:p>
    <w:p>
      <w:pPr>
        <w:spacing w:after="40" w:before="120"/>
        <w:jc w:val="center"/>
      </w:pPr>
      <w:r>
        <w:drawing>
          <wp:inline distT="0" distB="0" distL="0" distR="0">
            <wp:extent cx="5334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57650"/>
                    </a:xfrm>
                    <a:prstGeom prst="rect">
                      <a:avLst/>
                    </a:prstGeom>
                  </pic:spPr>
                </pic:pic>
              </a:graphicData>
            </a:graphic>
          </wp:inline>
        </w:drawing>
      </w:r>
    </w:p>
    <w:p>
      <w:pPr>
        <w:spacing w:after="220"/>
        <w:jc w:val="center"/>
      </w:pPr>
      <w:r>
        <w:rPr>
          <w:i/>
          <w:iCs/>
          <w:color w:val="666666"/>
          <w:sz w:val="18"/>
          <w:szCs w:val="18"/>
        </w:rPr>
        <w:t xml:space="preserve">Reference: Space-type × duration pricing grid, benefit rules by tier, and active members list</w:t>
      </w:r>
    </w:p>
    <w:p>
      <w:pPr>
        <w:pStyle w:val="ListParagraph"/>
        <w:numPr>
          <w:ilvl w:val="0"/>
          <w:numId w:val="1"/>
        </w:numPr>
        <w:spacing w:after="60"/>
      </w:pPr>
      <w:r>
        <w:rPr>
          <w:sz w:val="21"/>
          <w:szCs w:val="21"/>
        </w:rPr>
        <w:t xml:space="preserve">Pricing Grid table: 5 space-type rows × 4 duration columns, each cell editable — this is what feeds Section 2's pricing table and the customer-facing duration tabs.</w:t>
      </w:r>
    </w:p>
    <w:p>
      <w:pPr>
        <w:pStyle w:val="ListParagraph"/>
        <w:numPr>
          <w:ilvl w:val="0"/>
          <w:numId w:val="1"/>
        </w:numPr>
        <w:spacing w:after="60"/>
      </w:pPr>
      <w:r>
        <w:rPr>
          <w:sz w:val="21"/>
          <w:szCs w:val="21"/>
        </w:rPr>
        <w:t xml:space="preserve">Duration Tier Benefits table: free hours/month, rooms covered, and post-credit discount per tier — editable.</w:t>
      </w:r>
    </w:p>
    <w:p>
      <w:pPr>
        <w:pStyle w:val="ListParagraph"/>
        <w:numPr>
          <w:ilvl w:val="0"/>
          <w:numId w:val="1"/>
        </w:numPr>
        <w:spacing w:after="60"/>
      </w:pPr>
      <w:r>
        <w:rPr>
          <w:sz w:val="21"/>
          <w:szCs w:val="21"/>
        </w:rPr>
        <w:t xml:space="preserve">Active Members table: customer, plan, duration, renewal date, status — for support and renewal follow-up.</w:t>
      </w:r>
    </w:p>
    <w:p>
      <w:r>
        <w:br w:type="page"/>
      </w:r>
    </w:p>
    <w:p>
      <w:pPr>
        <w:pStyle w:val="Heading1"/>
        <w:pBdr>
          <w:bottom w:val="single" w:color="CC9A3D" w:sz="8" w:space="4"/>
        </w:pBdr>
        <w:spacing w:after="150" w:before="340"/>
      </w:pPr>
      <w:r>
        <w:rPr>
          <w:b/>
          <w:bCs/>
          <w:color w:val="241F19"/>
          <w:sz w:val="30"/>
          <w:szCs w:val="30"/>
        </w:rPr>
        <w:t xml:space="preserve">4. Complete Flow Charts</w:t>
      </w:r>
    </w:p>
    <w:p>
      <w:pPr>
        <w:pStyle w:val="Heading2"/>
        <w:spacing w:after="120" w:before="260"/>
      </w:pPr>
      <w:r>
        <w:rPr>
          <w:b/>
          <w:bCs/>
          <w:color w:val="B8842B"/>
          <w:sz w:val="24"/>
          <w:szCs w:val="24"/>
        </w:rPr>
        <w:t xml:space="preserve">4.1 Purchase / Signup Flow</w:t>
      </w:r>
    </w:p>
    <w:p>
      <w:pPr>
        <w:spacing w:after="40" w:before="120"/>
        <w:jc w:val="center"/>
      </w:pPr>
      <w:r>
        <w:drawing>
          <wp:inline distT="0" distB="0" distL="0" distR="0">
            <wp:extent cx="3619500" cy="679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6791325"/>
                    </a:xfrm>
                    <a:prstGeom prst="rect">
                      <a:avLst/>
                    </a:prstGeom>
                  </pic:spPr>
                </pic:pic>
              </a:graphicData>
            </a:graphic>
          </wp:inline>
        </w:drawing>
      </w:r>
    </w:p>
    <w:p>
      <w:pPr>
        <w:spacing w:after="220"/>
        <w:jc w:val="center"/>
      </w:pPr>
      <w:r>
        <w:rPr>
          <w:i/>
          <w:iCs/>
          <w:color w:val="666666"/>
          <w:sz w:val="18"/>
          <w:szCs w:val="18"/>
        </w:rPr>
        <w:t xml:space="preserve">Figure 1 — Membership signup: space type, duration, payment, activation</w:t>
      </w:r>
    </w:p>
    <w:p>
      <w:r>
        <w:br w:type="page"/>
      </w:r>
    </w:p>
    <w:p>
      <w:pPr>
        <w:pStyle w:val="Heading2"/>
        <w:spacing w:after="120" w:before="260"/>
      </w:pPr>
      <w:r>
        <w:rPr>
          <w:b/>
          <w:bCs/>
          <w:color w:val="B8842B"/>
          <w:sz w:val="24"/>
          <w:szCs w:val="24"/>
        </w:rPr>
        <w:t xml:space="preserve">4.2 Renewal Flow</w:t>
      </w:r>
    </w:p>
    <w:p>
      <w:pPr>
        <w:spacing w:after="140"/>
      </w:pPr>
      <w:r>
        <w:rPr>
          <w:b w:val="false"/>
          <w:bCs w:val="false"/>
          <w:i w:val="false"/>
          <w:iCs w:val="false"/>
          <w:color w:val="333333"/>
          <w:sz w:val="21"/>
          <w:szCs w:val="21"/>
        </w:rPr>
        <w:t xml:space="preserve">Runs automatically for every active membership as its renewal date approaches.</w:t>
      </w:r>
    </w:p>
    <w:p>
      <w:pPr>
        <w:spacing w:after="40" w:before="120"/>
        <w:jc w:val="center"/>
      </w:pPr>
      <w:r>
        <w:drawing>
          <wp:inline distT="0" distB="0" distL="0" distR="0">
            <wp:extent cx="3143250" cy="693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6934200"/>
                    </a:xfrm>
                    <a:prstGeom prst="rect">
                      <a:avLst/>
                    </a:prstGeom>
                  </pic:spPr>
                </pic:pic>
              </a:graphicData>
            </a:graphic>
          </wp:inline>
        </w:drawing>
      </w:r>
    </w:p>
    <w:p>
      <w:pPr>
        <w:spacing w:after="220"/>
        <w:jc w:val="center"/>
      </w:pPr>
      <w:r>
        <w:rPr>
          <w:i/>
          <w:iCs/>
          <w:color w:val="666666"/>
          <w:sz w:val="18"/>
          <w:szCs w:val="18"/>
        </w:rPr>
        <w:t xml:space="preserve">Figure 2 — Renewal reminder, payment, extension or expiry</w:t>
      </w:r>
    </w:p>
    <w:p>
      <w:r>
        <w:br w:type="page"/>
      </w:r>
    </w:p>
    <w:p>
      <w:pPr>
        <w:pStyle w:val="Heading2"/>
        <w:spacing w:after="120" w:before="260"/>
      </w:pPr>
      <w:r>
        <w:rPr>
          <w:b/>
          <w:bCs/>
          <w:color w:val="B8842B"/>
          <w:sz w:val="24"/>
          <w:szCs w:val="24"/>
        </w:rPr>
        <w:t xml:space="preserve">4.3 Meeting Room Credit — Monthly Lifecycle</w:t>
      </w:r>
    </w:p>
    <w:p>
      <w:pPr>
        <w:spacing w:after="140"/>
      </w:pPr>
      <w:r>
        <w:rPr>
          <w:b w:val="false"/>
          <w:bCs w:val="false"/>
          <w:i w:val="false"/>
          <w:iCs w:val="false"/>
          <w:color w:val="333333"/>
          <w:sz w:val="21"/>
          <w:szCs w:val="21"/>
        </w:rPr>
        <w:t xml:space="preserve">How free meeting-room hours move through states within each billing month. This is the mechanism Section 2's "do not roll over" rule depends on.</w:t>
      </w:r>
    </w:p>
    <w:p>
      <w:pPr>
        <w:spacing w:after="40" w:before="12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4010025"/>
                    </a:xfrm>
                    <a:prstGeom prst="rect">
                      <a:avLst/>
                    </a:prstGeom>
                  </pic:spPr>
                </pic:pic>
              </a:graphicData>
            </a:graphic>
          </wp:inline>
        </w:drawing>
      </w:r>
    </w:p>
    <w:p>
      <w:pPr>
        <w:spacing w:after="220"/>
        <w:jc w:val="center"/>
      </w:pPr>
      <w:r>
        <w:rPr>
          <w:i/>
          <w:iCs/>
          <w:color w:val="666666"/>
          <w:sz w:val="18"/>
          <w:szCs w:val="18"/>
        </w:rPr>
        <w:t xml:space="preserve">Figure 3 — Free meeting-room hours: provisioned, used, and reset each billing month</w:t>
      </w:r>
    </w:p>
    <w:p>
      <w:r>
        <w:br w:type="page"/>
      </w:r>
    </w:p>
    <w:p>
      <w:pPr>
        <w:pStyle w:val="Heading1"/>
        <w:pBdr>
          <w:bottom w:val="single" w:color="CC9A3D" w:sz="8" w:space="4"/>
        </w:pBdr>
        <w:spacing w:after="150" w:before="340"/>
      </w:pPr>
      <w:r>
        <w:rPr>
          <w:b/>
          <w:bCs/>
          <w:color w:val="241F19"/>
          <w:sz w:val="30"/>
          <w:szCs w:val="30"/>
        </w:rPr>
        <w:t xml:space="preserve">5. Data Model &amp; Business Rules</w:t>
      </w:r>
    </w:p>
    <w:p>
      <w:pPr>
        <w:pStyle w:val="Heading2"/>
        <w:spacing w:after="120" w:before="260"/>
      </w:pPr>
      <w:r>
        <w:rPr>
          <w:b/>
          <w:bCs/>
          <w:color w:val="B8842B"/>
          <w:sz w:val="24"/>
          <w:szCs w:val="24"/>
        </w:rPr>
        <w:t xml:space="preserve">5.1 Suggested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41F19" w:val="clear"/>
            <w:tcMar>
              <w:top w:type="dxa" w:w="60"/>
              <w:left w:type="dxa" w:w="100"/>
              <w:bottom w:type="dxa" w:w="60"/>
              <w:right w:type="dxa" w:w="100"/>
            </w:tcMar>
            <w:vAlign w:val="center"/>
          </w:tcPr>
          <w:p>
            <w:r>
              <w:rPr>
                <w:b/>
                <w:bCs/>
                <w:color w:val="FFFFFF"/>
                <w:sz w:val="19"/>
                <w:szCs w:val="19"/>
              </w:rPr>
              <w:t xml:space="preserve">Entity</w:t>
            </w:r>
          </w:p>
        </w:tc>
        <w:tc>
          <w:tcPr>
            <w:tcW w:type="dxa" w:w="6160"/>
            <w:shd w:fill="241F19" w:val="clear"/>
            <w:tcMar>
              <w:top w:type="dxa" w:w="60"/>
              <w:left w:type="dxa" w:w="100"/>
              <w:bottom w:type="dxa" w:w="60"/>
              <w:right w:type="dxa" w:w="100"/>
            </w:tcMar>
            <w:vAlign w:val="center"/>
          </w:tcPr>
          <w:p>
            <w:r>
              <w:rPr>
                <w:b/>
                <w:bCs/>
                <w:color w:val="FFFFFF"/>
                <w:sz w:val="19"/>
                <w:szCs w:val="19"/>
              </w:rPr>
              <w:t xml:space="preserve">Key Fields</w:t>
            </w:r>
          </w:p>
        </w:tc>
      </w:tr>
      <w:tr>
        <w:tc>
          <w:tcPr>
            <w:tcW w:type="dxa" w:w="3200"/>
            <w:tcMar>
              <w:top w:type="dxa" w:w="60"/>
              <w:left w:type="dxa" w:w="100"/>
              <w:bottom w:type="dxa" w:w="60"/>
              <w:right w:type="dxa" w:w="100"/>
            </w:tcMar>
            <w:vAlign w:val="center"/>
          </w:tcPr>
          <w:p>
            <w:r>
              <w:rPr>
                <w:b w:val="false"/>
                <w:bCs w:val="false"/>
                <w:color w:val="222222"/>
                <w:sz w:val="19"/>
                <w:szCs w:val="19"/>
              </w:rPr>
              <w:t xml:space="preserve">MembershipPlanPricing</w:t>
            </w:r>
          </w:p>
        </w:tc>
        <w:tc>
          <w:tcPr>
            <w:tcW w:type="dxa" w:w="6160"/>
            <w:tcMar>
              <w:top w:type="dxa" w:w="60"/>
              <w:left w:type="dxa" w:w="100"/>
              <w:bottom w:type="dxa" w:w="60"/>
              <w:right w:type="dxa" w:w="100"/>
            </w:tcMar>
            <w:vAlign w:val="center"/>
          </w:tcPr>
          <w:p>
            <w:r>
              <w:rPr>
                <w:b w:val="false"/>
                <w:bCs w:val="false"/>
                <w:color w:val="222222"/>
                <w:sz w:val="19"/>
                <w:szCs w:val="19"/>
              </w:rPr>
              <w:t xml:space="preserve">space_type, duration (monthly/3/6/12), monthly_rate</w:t>
            </w:r>
          </w:p>
        </w:tc>
      </w:tr>
      <w:tr>
        <w:tc>
          <w:tcPr>
            <w:tcW w:type="dxa" w:w="3200"/>
            <w:tcMar>
              <w:top w:type="dxa" w:w="60"/>
              <w:left w:type="dxa" w:w="100"/>
              <w:bottom w:type="dxa" w:w="60"/>
              <w:right w:type="dxa" w:w="100"/>
            </w:tcMar>
            <w:vAlign w:val="center"/>
          </w:tcPr>
          <w:p>
            <w:r>
              <w:rPr>
                <w:b w:val="false"/>
                <w:bCs w:val="false"/>
                <w:color w:val="222222"/>
                <w:sz w:val="19"/>
                <w:szCs w:val="19"/>
              </w:rPr>
              <w:t xml:space="preserve">MembershipDurationBenefit</w:t>
            </w:r>
          </w:p>
        </w:tc>
        <w:tc>
          <w:tcPr>
            <w:tcW w:type="dxa" w:w="6160"/>
            <w:tcMar>
              <w:top w:type="dxa" w:w="60"/>
              <w:left w:type="dxa" w:w="100"/>
              <w:bottom w:type="dxa" w:w="60"/>
              <w:right w:type="dxa" w:w="100"/>
            </w:tcMar>
            <w:vAlign w:val="center"/>
          </w:tcPr>
          <w:p>
            <w:r>
              <w:rPr>
                <w:b w:val="false"/>
                <w:bCs w:val="false"/>
                <w:color w:val="222222"/>
                <w:sz w:val="19"/>
                <w:szCs w:val="19"/>
              </w:rPr>
              <w:t xml:space="preserve">duration, free_meeting_hours, rooms_covered, post_credit_discount_pct</w:t>
            </w:r>
          </w:p>
        </w:tc>
      </w:tr>
      <w:tr>
        <w:tc>
          <w:tcPr>
            <w:tcW w:type="dxa" w:w="3200"/>
            <w:tcMar>
              <w:top w:type="dxa" w:w="60"/>
              <w:left w:type="dxa" w:w="100"/>
              <w:bottom w:type="dxa" w:w="60"/>
              <w:right w:type="dxa" w:w="100"/>
            </w:tcMar>
            <w:vAlign w:val="center"/>
          </w:tcPr>
          <w:p>
            <w:r>
              <w:rPr>
                <w:b w:val="false"/>
                <w:bCs w:val="false"/>
                <w:color w:val="222222"/>
                <w:sz w:val="19"/>
                <w:szCs w:val="19"/>
              </w:rPr>
              <w:t xml:space="preserve">MembershipSubscription</w:t>
            </w:r>
          </w:p>
        </w:tc>
        <w:tc>
          <w:tcPr>
            <w:tcW w:type="dxa" w:w="6160"/>
            <w:tcMar>
              <w:top w:type="dxa" w:w="60"/>
              <w:left w:type="dxa" w:w="100"/>
              <w:bottom w:type="dxa" w:w="60"/>
              <w:right w:type="dxa" w:w="100"/>
            </w:tcMar>
            <w:vAlign w:val="center"/>
          </w:tcPr>
          <w:p>
            <w:r>
              <w:rPr>
                <w:b w:val="false"/>
                <w:bCs w:val="false"/>
                <w:color w:val="222222"/>
                <w:sz w:val="19"/>
                <w:szCs w:val="19"/>
              </w:rPr>
              <w:t xml:space="preserve">id, customer_id, space_type, duration, start_date, renewal_date, monthly_rate, status (active/expiring/expired/paused)</w:t>
            </w:r>
          </w:p>
        </w:tc>
      </w:tr>
      <w:tr>
        <w:tc>
          <w:tcPr>
            <w:tcW w:type="dxa" w:w="3200"/>
            <w:tcMar>
              <w:top w:type="dxa" w:w="60"/>
              <w:left w:type="dxa" w:w="100"/>
              <w:bottom w:type="dxa" w:w="60"/>
              <w:right w:type="dxa" w:w="100"/>
            </w:tcMar>
            <w:vAlign w:val="center"/>
          </w:tcPr>
          <w:p>
            <w:r>
              <w:rPr>
                <w:b w:val="false"/>
                <w:bCs w:val="false"/>
                <w:color w:val="222222"/>
                <w:sz w:val="19"/>
                <w:szCs w:val="19"/>
              </w:rPr>
              <w:t xml:space="preserve">MeetingRoomCreditLedger</w:t>
            </w:r>
          </w:p>
        </w:tc>
        <w:tc>
          <w:tcPr>
            <w:tcW w:type="dxa" w:w="6160"/>
            <w:tcMar>
              <w:top w:type="dxa" w:w="60"/>
              <w:left w:type="dxa" w:w="100"/>
              <w:bottom w:type="dxa" w:w="60"/>
              <w:right w:type="dxa" w:w="100"/>
            </w:tcMar>
            <w:vAlign w:val="center"/>
          </w:tcPr>
          <w:p>
            <w:r>
              <w:rPr>
                <w:b w:val="false"/>
                <w:bCs w:val="false"/>
                <w:color w:val="222222"/>
                <w:sz w:val="19"/>
                <w:szCs w:val="19"/>
              </w:rPr>
              <w:t xml:space="preserve">id, subscription_id, billing_month, hours_granted, hours_used, reset_date</w:t>
            </w:r>
          </w:p>
        </w:tc>
      </w:tr>
      <w:tr>
        <w:tc>
          <w:tcPr>
            <w:tcW w:type="dxa" w:w="3200"/>
            <w:tcMar>
              <w:top w:type="dxa" w:w="60"/>
              <w:left w:type="dxa" w:w="100"/>
              <w:bottom w:type="dxa" w:w="60"/>
              <w:right w:type="dxa" w:w="100"/>
            </w:tcMar>
            <w:vAlign w:val="center"/>
          </w:tcPr>
          <w:p>
            <w:r>
              <w:rPr>
                <w:b w:val="false"/>
                <w:bCs w:val="false"/>
                <w:color w:val="222222"/>
                <w:sz w:val="19"/>
                <w:szCs w:val="19"/>
              </w:rPr>
              <w:t xml:space="preserve">GuestPassLedger</w:t>
            </w:r>
          </w:p>
        </w:tc>
        <w:tc>
          <w:tcPr>
            <w:tcW w:type="dxa" w:w="6160"/>
            <w:tcMar>
              <w:top w:type="dxa" w:w="60"/>
              <w:left w:type="dxa" w:w="100"/>
              <w:bottom w:type="dxa" w:w="60"/>
              <w:right w:type="dxa" w:w="100"/>
            </w:tcMar>
            <w:vAlign w:val="center"/>
          </w:tcPr>
          <w:p>
            <w:r>
              <w:rPr>
                <w:b w:val="false"/>
                <w:bCs w:val="false"/>
                <w:color w:val="222222"/>
                <w:sz w:val="19"/>
                <w:szCs w:val="19"/>
              </w:rPr>
              <w:t xml:space="preserve">id, subscription_id, billing_month, passes_granted, passes_used</w:t>
            </w:r>
          </w:p>
        </w:tc>
      </w:tr>
    </w:tbl>
    <w:p>
      <w:pPr>
        <w:pStyle w:val="Heading2"/>
        <w:spacing w:after="120" w:before="260"/>
      </w:pPr>
      <w:r>
        <w:rPr>
          <w:b/>
          <w:bCs/>
          <w:color w:val="B8842B"/>
          <w:sz w:val="24"/>
          <w:szCs w:val="24"/>
        </w:rPr>
        <w:t xml:space="preserve">5.2 Business Rules</w:t>
      </w:r>
    </w:p>
    <w:p>
      <w:pPr>
        <w:pStyle w:val="ListParagraph"/>
        <w:numPr>
          <w:ilvl w:val="0"/>
          <w:numId w:val="1"/>
        </w:numPr>
        <w:spacing w:after="60"/>
      </w:pPr>
      <w:r>
        <w:rPr>
          <w:sz w:val="21"/>
          <w:szCs w:val="21"/>
        </w:rPr>
        <w:t xml:space="preserve">Pricing is looked up from the 5×4 grid by (space_type, duration) — never store a flat per-plan price separately from this grid, or the two will drift out of sync.</w:t>
      </w:r>
    </w:p>
    <w:p>
      <w:pPr>
        <w:pStyle w:val="ListParagraph"/>
        <w:numPr>
          <w:ilvl w:val="0"/>
          <w:numId w:val="1"/>
        </w:numPr>
        <w:spacing w:after="60"/>
      </w:pPr>
      <w:r>
        <w:rPr>
          <w:sz w:val="21"/>
          <w:szCs w:val="21"/>
        </w:rPr>
        <w:t xml:space="preserve">On successful payment, renewal_date = start_date + duration. On renewal, renewal_date extends by the new duration chosen (may differ from the original).</w:t>
      </w:r>
    </w:p>
    <w:p>
      <w:pPr>
        <w:pStyle w:val="ListParagraph"/>
        <w:numPr>
          <w:ilvl w:val="0"/>
          <w:numId w:val="1"/>
        </w:numPr>
        <w:spacing w:after="60"/>
      </w:pPr>
      <w:r>
        <w:rPr>
          <w:sz w:val="21"/>
          <w:szCs w:val="21"/>
        </w:rPr>
        <w:t xml:space="preserve">Meeting-room credit and guest passes are granted fresh each billing month and expire at month end — implement as a scheduled job that resets the ledger on each subscription's monthly anniversary, not just on renewal.</w:t>
      </w:r>
    </w:p>
    <w:p>
      <w:pPr>
        <w:pStyle w:val="ListParagraph"/>
        <w:numPr>
          <w:ilvl w:val="0"/>
          <w:numId w:val="1"/>
        </w:numPr>
        <w:spacing w:after="60"/>
      </w:pPr>
      <w:r>
        <w:rPr>
          <w:sz w:val="21"/>
          <w:szCs w:val="21"/>
        </w:rPr>
        <w:t xml:space="preserve">When a member books a meeting room, check MeetingRoomCreditLedger first; if hours remain, deduct from there at no charge; once exhausted, charge the standard rate minus the tier's post-credit discount.</w:t>
      </w:r>
    </w:p>
    <w:p>
      <w:pPr>
        <w:pStyle w:val="ListParagraph"/>
        <w:numPr>
          <w:ilvl w:val="0"/>
          <w:numId w:val="1"/>
        </w:numPr>
        <w:spacing w:after="60"/>
      </w:pPr>
      <w:r>
        <w:rPr>
          <w:sz w:val="21"/>
          <w:szCs w:val="21"/>
        </w:rPr>
        <w:t xml:space="preserve">A membership with a lapsed renewal_date and no successful payment moves to status = expired; benefits and credit ledger stop provisioning until renewed.</w:t>
      </w:r>
    </w:p>
    <w:p>
      <w:pPr>
        <w:pStyle w:val="ListParagraph"/>
        <w:numPr>
          <w:ilvl w:val="0"/>
          <w:numId w:val="1"/>
        </w:numPr>
        <w:spacing w:after="60"/>
      </w:pPr>
      <w:r>
        <w:rPr>
          <w:sz w:val="21"/>
          <w:szCs w:val="21"/>
        </w:rPr>
        <w:t xml:space="preserve">Membership purchases and renewals feed into the same Invoices / Payments records as every other purchase in the app.</w:t>
      </w:r>
    </w:p>
    <w:p>
      <w:pPr>
        <w:pStyle w:val="ListParagraph"/>
        <w:numPr>
          <w:ilvl w:val="0"/>
          <w:numId w:val="1"/>
        </w:numPr>
        <w:spacing w:after="60"/>
      </w:pPr>
      <w:r>
        <w:rPr>
          <w:sz w:val="21"/>
          <w:szCs w:val="21"/>
        </w:rPr>
        <w:t xml:space="preserve">This is a separate feature and data model from Day Pass — do not merge the two, even though both are entry points from the same menu.</w:t>
      </w:r>
    </w:p>
    <w:p>
      <w:r>
        <w:br w:type="page"/>
      </w:r>
    </w:p>
    <w:p>
      <w:pPr>
        <w:pStyle w:val="Heading1"/>
        <w:pBdr>
          <w:bottom w:val="single" w:color="CC9A3D" w:sz="8" w:space="4"/>
        </w:pBdr>
        <w:spacing w:after="150" w:before="340"/>
      </w:pPr>
      <w:r>
        <w:rPr>
          <w:b/>
          <w:bCs/>
          <w:color w:val="241F19"/>
          <w:sz w:val="30"/>
          <w:szCs w:val="30"/>
        </w:rPr>
        <w:t xml:space="preserve">6. Open Items — Confirm Before / While Building</w:t>
      </w:r>
    </w:p>
    <w:p>
      <w:pPr>
        <w:spacing w:after="140"/>
      </w:pPr>
      <w:r>
        <w:rPr>
          <w:b w:val="false"/>
          <w:bCs w:val="false"/>
          <w:i w:val="false"/>
          <w:iCs w:val="false"/>
          <w:color w:val="333333"/>
          <w:sz w:val="21"/>
          <w:szCs w:val="21"/>
        </w:rPr>
        <w:t xml:space="preserve">This document makes reasonable assumptions to stay buildable immediately. Flag these to the Project Manager rather than guessing silently if they matter to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shd w:fill="241F19" w:val="clear"/>
            <w:tcMar>
              <w:top w:type="dxa" w:w="60"/>
              <w:left w:type="dxa" w:w="100"/>
              <w:bottom w:type="dxa" w:w="60"/>
              <w:right w:type="dxa" w:w="100"/>
            </w:tcMar>
            <w:vAlign w:val="center"/>
          </w:tcPr>
          <w:p>
            <w:r>
              <w:rPr>
                <w:b/>
                <w:bCs/>
                <w:color w:val="FFFFFF"/>
                <w:sz w:val="19"/>
                <w:szCs w:val="19"/>
              </w:rPr>
              <w:t xml:space="preserve">#</w:t>
            </w:r>
          </w:p>
        </w:tc>
        <w:tc>
          <w:tcPr>
            <w:tcW w:type="dxa" w:w="4200"/>
            <w:shd w:fill="241F19" w:val="clear"/>
            <w:tcMar>
              <w:top w:type="dxa" w:w="60"/>
              <w:left w:type="dxa" w:w="100"/>
              <w:bottom w:type="dxa" w:w="60"/>
              <w:right w:type="dxa" w:w="100"/>
            </w:tcMar>
            <w:vAlign w:val="center"/>
          </w:tcPr>
          <w:p>
            <w:r>
              <w:rPr>
                <w:b/>
                <w:bCs/>
                <w:color w:val="FFFFFF"/>
                <w:sz w:val="19"/>
                <w:szCs w:val="19"/>
              </w:rPr>
              <w:t xml:space="preserve">Assumption Made Here</w:t>
            </w:r>
          </w:p>
        </w:tc>
        <w:tc>
          <w:tcPr>
            <w:tcW w:type="dxa" w:w="4660"/>
            <w:shd w:fill="241F19" w:val="clear"/>
            <w:tcMar>
              <w:top w:type="dxa" w:w="60"/>
              <w:left w:type="dxa" w:w="100"/>
              <w:bottom w:type="dxa" w:w="60"/>
              <w:right w:type="dxa" w:w="100"/>
            </w:tcMar>
            <w:vAlign w:val="center"/>
          </w:tcPr>
          <w:p>
            <w:r>
              <w:rPr>
                <w:b/>
                <w:bCs/>
                <w:color w:val="FFFFFF"/>
                <w:sz w:val="19"/>
                <w:szCs w:val="19"/>
              </w:rPr>
              <w:t xml:space="preserve">Needs Confirmation</w:t>
            </w:r>
          </w:p>
        </w:tc>
      </w:tr>
      <w:tr>
        <w:tc>
          <w:tcPr>
            <w:tcW w:type="dxa" w:w="500"/>
            <w:tcMar>
              <w:top w:type="dxa" w:w="60"/>
              <w:left w:type="dxa" w:w="100"/>
              <w:bottom w:type="dxa" w:w="60"/>
              <w:right w:type="dxa" w:w="100"/>
            </w:tcMar>
            <w:vAlign w:val="center"/>
          </w:tcPr>
          <w:p>
            <w:r>
              <w:rPr>
                <w:b w:val="false"/>
                <w:bCs w:val="false"/>
                <w:color w:val="222222"/>
                <w:sz w:val="19"/>
                <w:szCs w:val="19"/>
              </w:rPr>
              <w:t xml:space="preserve">1</w:t>
            </w:r>
          </w:p>
        </w:tc>
        <w:tc>
          <w:tcPr>
            <w:tcW w:type="dxa" w:w="4200"/>
            <w:tcMar>
              <w:top w:type="dxa" w:w="60"/>
              <w:left w:type="dxa" w:w="100"/>
              <w:bottom w:type="dxa" w:w="60"/>
              <w:right w:type="dxa" w:w="100"/>
            </w:tcMar>
            <w:vAlign w:val="center"/>
          </w:tcPr>
          <w:p>
            <w:r>
              <w:rPr>
                <w:b w:val="false"/>
                <w:bCs w:val="false"/>
                <w:color w:val="222222"/>
                <w:sz w:val="19"/>
                <w:szCs w:val="19"/>
              </w:rPr>
              <w:t xml:space="preserve">Renewal reminder window = 7 days before renewal date</w:t>
            </w:r>
          </w:p>
        </w:tc>
        <w:tc>
          <w:tcPr>
            <w:tcW w:type="dxa" w:w="4660"/>
            <w:tcMar>
              <w:top w:type="dxa" w:w="60"/>
              <w:left w:type="dxa" w:w="100"/>
              <w:bottom w:type="dxa" w:w="60"/>
              <w:right w:type="dxa" w:w="100"/>
            </w:tcMar>
            <w:vAlign w:val="center"/>
          </w:tcPr>
          <w:p>
            <w:r>
              <w:rPr>
                <w:b w:val="false"/>
                <w:bCs w:val="false"/>
                <w:color w:val="222222"/>
                <w:sz w:val="19"/>
                <w:szCs w:val="19"/>
              </w:rPr>
              <w:t xml:space="preserve">Exact number of days — not specified in the source pricing document</w:t>
            </w:r>
          </w:p>
        </w:tc>
      </w:tr>
      <w:tr>
        <w:tc>
          <w:tcPr>
            <w:tcW w:type="dxa" w:w="500"/>
            <w:tcMar>
              <w:top w:type="dxa" w:w="60"/>
              <w:left w:type="dxa" w:w="100"/>
              <w:bottom w:type="dxa" w:w="60"/>
              <w:right w:type="dxa" w:w="100"/>
            </w:tcMar>
            <w:vAlign w:val="center"/>
          </w:tcPr>
          <w:p>
            <w:r>
              <w:rPr>
                <w:b w:val="false"/>
                <w:bCs w:val="false"/>
                <w:color w:val="222222"/>
                <w:sz w:val="19"/>
                <w:szCs w:val="19"/>
              </w:rPr>
              <w:t xml:space="preserve">2</w:t>
            </w:r>
          </w:p>
        </w:tc>
        <w:tc>
          <w:tcPr>
            <w:tcW w:type="dxa" w:w="4200"/>
            <w:tcMar>
              <w:top w:type="dxa" w:w="60"/>
              <w:left w:type="dxa" w:w="100"/>
              <w:bottom w:type="dxa" w:w="60"/>
              <w:right w:type="dxa" w:w="100"/>
            </w:tcMar>
            <w:vAlign w:val="center"/>
          </w:tcPr>
          <w:p>
            <w:r>
              <w:rPr>
                <w:b w:val="false"/>
                <w:bCs w:val="false"/>
                <w:color w:val="222222"/>
                <w:sz w:val="19"/>
                <w:szCs w:val="19"/>
              </w:rPr>
              <w:t xml:space="preserve">A lapsed membership immediately loses benefits (no grace period)</w:t>
            </w:r>
          </w:p>
        </w:tc>
        <w:tc>
          <w:tcPr>
            <w:tcW w:type="dxa" w:w="4660"/>
            <w:tcMar>
              <w:top w:type="dxa" w:w="60"/>
              <w:left w:type="dxa" w:w="100"/>
              <w:bottom w:type="dxa" w:w="60"/>
              <w:right w:type="dxa" w:w="100"/>
            </w:tcMar>
            <w:vAlign w:val="center"/>
          </w:tcPr>
          <w:p>
            <w:r>
              <w:rPr>
                <w:b w:val="false"/>
                <w:bCs w:val="false"/>
                <w:color w:val="222222"/>
                <w:sz w:val="19"/>
                <w:szCs w:val="19"/>
              </w:rPr>
              <w:t xml:space="preserve">Whether a short grace period should exist before status flips to expired</w:t>
            </w:r>
          </w:p>
        </w:tc>
      </w:tr>
      <w:tr>
        <w:tc>
          <w:tcPr>
            <w:tcW w:type="dxa" w:w="500"/>
            <w:tcMar>
              <w:top w:type="dxa" w:w="60"/>
              <w:left w:type="dxa" w:w="100"/>
              <w:bottom w:type="dxa" w:w="60"/>
              <w:right w:type="dxa" w:w="100"/>
            </w:tcMar>
            <w:vAlign w:val="center"/>
          </w:tcPr>
          <w:p>
            <w:r>
              <w:rPr>
                <w:b w:val="false"/>
                <w:bCs w:val="false"/>
                <w:color w:val="222222"/>
                <w:sz w:val="19"/>
                <w:szCs w:val="19"/>
              </w:rPr>
              <w:t xml:space="preserve">3</w:t>
            </w:r>
          </w:p>
        </w:tc>
        <w:tc>
          <w:tcPr>
            <w:tcW w:type="dxa" w:w="4200"/>
            <w:tcMar>
              <w:top w:type="dxa" w:w="60"/>
              <w:left w:type="dxa" w:w="100"/>
              <w:bottom w:type="dxa" w:w="60"/>
              <w:right w:type="dxa" w:w="100"/>
            </w:tcMar>
            <w:vAlign w:val="center"/>
          </w:tcPr>
          <w:p>
            <w:r>
              <w:rPr>
                <w:b w:val="false"/>
                <w:bCs w:val="false"/>
                <w:color w:val="222222"/>
                <w:sz w:val="19"/>
                <w:szCs w:val="19"/>
              </w:rPr>
              <w:t xml:space="preserve">Dedicated Desk / Cabin memberships grant a specific assigned desk/cabin vs. general access to that space type</w:t>
            </w:r>
          </w:p>
        </w:tc>
        <w:tc>
          <w:tcPr>
            <w:tcW w:type="dxa" w:w="4660"/>
            <w:tcMar>
              <w:top w:type="dxa" w:w="60"/>
              <w:left w:type="dxa" w:w="100"/>
              <w:bottom w:type="dxa" w:w="60"/>
              <w:right w:type="dxa" w:w="100"/>
            </w:tcMar>
            <w:vAlign w:val="center"/>
          </w:tcPr>
          <w:p>
            <w:r>
              <w:rPr>
                <w:b w:val="false"/>
                <w:bCs w:val="false"/>
                <w:color w:val="222222"/>
                <w:sz w:val="19"/>
                <w:szCs w:val="19"/>
              </w:rPr>
              <w:t xml:space="preserve">Whether membership ties to one physical desk/cabin, or is flexible access like Hot Desk — affects the data model and whether it links into the Workspace Management module</w:t>
            </w:r>
          </w:p>
        </w:tc>
      </w:tr>
      <w:tr>
        <w:tc>
          <w:tcPr>
            <w:tcW w:type="dxa" w:w="500"/>
            <w:tcMar>
              <w:top w:type="dxa" w:w="60"/>
              <w:left w:type="dxa" w:w="100"/>
              <w:bottom w:type="dxa" w:w="60"/>
              <w:right w:type="dxa" w:w="100"/>
            </w:tcMar>
            <w:vAlign w:val="center"/>
          </w:tcPr>
          <w:p>
            <w:r>
              <w:rPr>
                <w:b w:val="false"/>
                <w:bCs w:val="false"/>
                <w:color w:val="222222"/>
                <w:sz w:val="19"/>
                <w:szCs w:val="19"/>
              </w:rPr>
              <w:t xml:space="preserve">4</w:t>
            </w:r>
          </w:p>
        </w:tc>
        <w:tc>
          <w:tcPr>
            <w:tcW w:type="dxa" w:w="4200"/>
            <w:tcMar>
              <w:top w:type="dxa" w:w="60"/>
              <w:left w:type="dxa" w:w="100"/>
              <w:bottom w:type="dxa" w:w="60"/>
              <w:right w:type="dxa" w:w="100"/>
            </w:tcMar>
            <w:vAlign w:val="center"/>
          </w:tcPr>
          <w:p>
            <w:r>
              <w:rPr>
                <w:b w:val="false"/>
                <w:bCs w:val="false"/>
                <w:color w:val="222222"/>
                <w:sz w:val="19"/>
                <w:szCs w:val="19"/>
              </w:rPr>
              <w:t xml:space="preserve">Upgrade Plan (mid-term space-type or duration change) recalculates pricing pro-rata</w:t>
            </w:r>
          </w:p>
        </w:tc>
        <w:tc>
          <w:tcPr>
            <w:tcW w:type="dxa" w:w="4660"/>
            <w:tcMar>
              <w:top w:type="dxa" w:w="60"/>
              <w:left w:type="dxa" w:w="100"/>
              <w:bottom w:type="dxa" w:w="60"/>
              <w:right w:type="dxa" w:w="100"/>
            </w:tcMar>
            <w:vAlign w:val="center"/>
          </w:tcPr>
          <w:p>
            <w:r>
              <w:rPr>
                <w:b w:val="false"/>
                <w:bCs w:val="false"/>
                <w:color w:val="222222"/>
                <w:sz w:val="19"/>
                <w:szCs w:val="19"/>
              </w:rPr>
              <w:t xml:space="preserve">Exact proration rule for upgrades/downgrades mid-term — not specified in the source document</w:t>
            </w:r>
          </w:p>
        </w:tc>
      </w:tr>
      <w:tr>
        <w:tc>
          <w:tcPr>
            <w:tcW w:type="dxa" w:w="500"/>
            <w:tcMar>
              <w:top w:type="dxa" w:w="60"/>
              <w:left w:type="dxa" w:w="100"/>
              <w:bottom w:type="dxa" w:w="60"/>
              <w:right w:type="dxa" w:w="100"/>
            </w:tcMar>
            <w:vAlign w:val="center"/>
          </w:tcPr>
          <w:p>
            <w:r>
              <w:rPr>
                <w:b w:val="false"/>
                <w:bCs w:val="false"/>
                <w:color w:val="222222"/>
                <w:sz w:val="19"/>
                <w:szCs w:val="19"/>
              </w:rPr>
              <w:t xml:space="preserve">5</w:t>
            </w:r>
          </w:p>
        </w:tc>
        <w:tc>
          <w:tcPr>
            <w:tcW w:type="dxa" w:w="4200"/>
            <w:tcMar>
              <w:top w:type="dxa" w:w="60"/>
              <w:left w:type="dxa" w:w="100"/>
              <w:bottom w:type="dxa" w:w="60"/>
              <w:right w:type="dxa" w:w="100"/>
            </w:tcMar>
            <w:vAlign w:val="center"/>
          </w:tcPr>
          <w:p>
            <w:r>
              <w:rPr>
                <w:b w:val="false"/>
                <w:bCs w:val="false"/>
                <w:color w:val="222222"/>
                <w:sz w:val="19"/>
                <w:szCs w:val="19"/>
              </w:rPr>
              <w:t xml:space="preserve">Custom Plan / "Build Your Own" builder (from the pricing document, Section 9) is treated as a Phase 2 feature</w:t>
            </w:r>
          </w:p>
        </w:tc>
        <w:tc>
          <w:tcPr>
            <w:tcW w:type="dxa" w:w="4660"/>
            <w:tcMar>
              <w:top w:type="dxa" w:w="60"/>
              <w:left w:type="dxa" w:w="100"/>
              <w:bottom w:type="dxa" w:w="60"/>
              <w:right w:type="dxa" w:w="100"/>
            </w:tcMar>
            <w:vAlign w:val="center"/>
          </w:tcPr>
          <w:p>
            <w:r>
              <w:rPr>
                <w:b w:val="false"/>
                <w:bCs w:val="false"/>
                <w:color w:val="222222"/>
                <w:sz w:val="19"/>
                <w:szCs w:val="19"/>
              </w:rPr>
              <w:t xml:space="preserve">Whether it should be included in this build or handled manually by sales for now</w:t>
            </w:r>
          </w:p>
        </w:tc>
      </w:tr>
    </w:tbl>
    <w:p>
      <w:r>
        <w:br w:type="page"/>
      </w:r>
    </w:p>
    <w:p>
      <w:pPr>
        <w:pStyle w:val="Heading1"/>
        <w:pBdr>
          <w:bottom w:val="single" w:color="CC9A3D" w:sz="8" w:space="4"/>
        </w:pBdr>
        <w:spacing w:after="150" w:before="340"/>
      </w:pPr>
      <w:r>
        <w:rPr>
          <w:b/>
          <w:bCs/>
          <w:color w:val="241F19"/>
          <w:sz w:val="30"/>
          <w:szCs w:val="30"/>
        </w:rPr>
        <w:t xml:space="preserve">7. Summary For The Developer</w:t>
      </w:r>
    </w:p>
    <w:p>
      <w:pPr>
        <w:spacing w:after="140"/>
      </w:pPr>
      <w:r>
        <w:rPr>
          <w:b w:val="false"/>
          <w:bCs w:val="false"/>
          <w:i w:val="false"/>
          <w:iCs w:val="false"/>
          <w:color w:val="333333"/>
          <w:sz w:val="21"/>
          <w:szCs w:val="21"/>
        </w:rPr>
        <w:t xml:space="preserve">If you only read one paragraph of this document, read this one:</w:t>
      </w:r>
    </w:p>
    <w:p>
      <w:pPr>
        <w:pBdr>
          <w:top w:val="single" w:color="9C6500" w:sz="6" w:space="4"/>
          <w:bottom w:val="single" w:color="9C6500" w:sz="6" w:space="4"/>
          <w:left w:val="single" w:color="9C6500" w:sz="6" w:space="4"/>
          <w:right w:val="single" w:color="9C6500" w:sz="6" w:space="4"/>
        </w:pBdr>
        <w:shd w:fill="FFEB9C" w:val="clear"/>
        <w:spacing w:after="160" w:before="100"/>
      </w:pPr>
      <w:r>
        <w:rPr>
          <w:b/>
          <w:bCs/>
          <w:color w:val="6B4E00"/>
          <w:sz w:val="20"/>
          <w:szCs w:val="20"/>
        </w:rPr>
        <w:t xml:space="preserve">NOTE: Build Membership as a recurring subscription with a two-dimensional price grid (5 space types × 4 durations) for a SINGLE office. Every duration tier unlocks monthly-refreshing benefits — most importantly free Meeting Room hours — that must reset on each billing anniversary and never roll over. This is a separate system from Day Pass: Day Pass is one-time-use credits with no recurring commitment; Membership is an ongoing subscription with monthly benefit resets. Keep the two data models and screens distinct even though they sit side by side in the menu.</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Regalis WorkSpace — Membership Feature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19d2d7d47d35119777ebb9c5fbd3aabf6ea6cd.png"/><Relationship Id="rId10" Type="http://schemas.openxmlformats.org/officeDocument/2006/relationships/image" Target="media/775fe1b2e0a24b477007e1821773b3861243e8d6.png"/><Relationship Id="rId11" Type="http://schemas.openxmlformats.org/officeDocument/2006/relationships/image" Target="media/ea7fb9607ec8eb2326fc881c85d298d47ec04cc2.png"/><Relationship Id="rId12" Type="http://schemas.openxmlformats.org/officeDocument/2006/relationships/image" Target="media/5c76fbec53f84bd9687c61d34bf1c4da8bf646b3.png"/><Relationship Id="rId13" Type="http://schemas.openxmlformats.org/officeDocument/2006/relationships/image" Target="media/2566c4675af596cd9b225818c7b69e1b83a4935f.png"/><Relationship Id="rId14" Type="http://schemas.openxmlformats.org/officeDocument/2006/relationships/image" Target="media/dec3abdb137d087444186f7ff3b4bcea5cb335a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Regalis WorkSpace - Membership Feature Specification</dc:title>
  <dc:creator>Regalis WorkSpace Project</dc:creator>
  <cp:lastModifiedBy>Un-named</cp:lastModifiedBy>
  <cp:revision>1</cp:revision>
  <dcterms:created xsi:type="dcterms:W3CDTF">2026-09-09T12:17:56.837Z</dcterms:created>
  <dcterms:modified xsi:type="dcterms:W3CDTF">2026-09-09T12:17:56.837Z</dcterms:modified>
</cp:coreProperties>
</file>

<file path=docProps/custom.xml><?xml version="1.0" encoding="utf-8"?>
<Properties xmlns="http://schemas.openxmlformats.org/officeDocument/2006/custom-properties" xmlns:vt="http://schemas.openxmlformats.org/officeDocument/2006/docPropsVTypes"/>
</file>