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B8943A"/>
          <w:sz w:val="96"/>
          <w:szCs w:val="96"/>
        </w:rPr>
        <w:t xml:space="preserve">TMLI</w:t>
      </w:r>
    </w:p>
    <w:p>
      <w:pPr>
        <w:spacing w:after="200" w:before="0"/>
        <w:jc w:val="center"/>
      </w:pPr>
      <w:r>
        <w:rPr>
          <w:rFonts w:ascii="Arial" w:cs="Arial" w:eastAsia="Arial" w:hAnsi="Arial"/>
          <w:caps/>
          <w:color w:val="7A7060"/>
          <w:sz w:val="28"/>
          <w:szCs w:val="28"/>
        </w:rPr>
        <w:t xml:space="preserve">THAILAND MACRO·LABOR INTELLIGENCE</w:t>
      </w:r>
    </w:p>
    <w:p>
      <w:pPr>
        <w:pBdr>
          <w:top w:val="single" w:color="B8943A" w:sz="8" w:space="4"/>
          <w:bottom w:val="single" w:color="B8943A" w:sz="8" w:space="4"/>
        </w:pBdr>
        <w:spacing w:after="200" w:before="200"/>
        <w:jc w:val="center"/>
      </w:pPr>
      <w:r>
        <w:rPr>
          <w:rFonts w:ascii="Arial" w:cs="Arial" w:eastAsia="Arial" w:hAnsi="Arial"/>
          <w:b/>
          <w:bCs/>
          <w:caps/>
          <w:color w:val="0C0F18"/>
          <w:sz w:val="40"/>
          <w:szCs w:val="40"/>
        </w:rPr>
        <w:t xml:space="preserve">CTO DEEP AUDIT REPORT</w:t>
      </w:r>
    </w:p>
    <w:p>
      <w:pPr>
        <w:spacing w:after="60" w:before="60"/>
      </w:pPr>
      <w:r>
        <w:t xml:space="preserve"/>
      </w:r>
    </w:p>
    <w:p>
      <w:pPr>
        <w:spacing w:after="80" w:before="80"/>
        <w:jc w:val="center"/>
      </w:pPr>
      <w:r>
        <w:rPr>
          <w:rFonts w:ascii="Arial" w:cs="Arial" w:eastAsia="Arial" w:hAnsi="Arial"/>
          <w:i/>
          <w:iCs/>
          <w:color w:val="7A7060"/>
          <w:sz w:val="22"/>
          <w:szCs w:val="22"/>
        </w:rPr>
        <w:t xml:space="preserve">Version Comparison • Gap Analysis • API Upgrade Blueprint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80"/>
        <w:jc w:val="center"/>
      </w:pPr>
      <w:r>
        <w:rPr>
          <w:rFonts w:ascii="Arial" w:cs="Arial" w:eastAsia="Arial" w:hAnsi="Arial"/>
          <w:color w:val="7A7060"/>
          <w:sz w:val="20"/>
          <w:szCs w:val="20"/>
        </w:rPr>
        <w:t xml:space="preserve">Prepared by:</w:t>
      </w:r>
    </w:p>
    <w:p>
      <w:pPr>
        <w:spacing w:after="60" w:before="0"/>
        <w:jc w:val="center"/>
      </w:pPr>
      <w:r>
        <w:rPr>
          <w:rFonts w:ascii="Arial" w:cs="Arial" w:eastAsia="Arial" w:hAnsi="Arial"/>
          <w:b/>
          <w:bCs/>
          <w:color w:val="0C0F18"/>
          <w:sz w:val="22"/>
          <w:szCs w:val="22"/>
        </w:rPr>
        <w:t xml:space="preserve">Office of the Chief Technology Officer</w:t>
      </w:r>
    </w:p>
    <w:p>
      <w:pPr>
        <w:spacing w:after="60" w:before="0"/>
        <w:jc w:val="center"/>
      </w:pPr>
      <w:r>
        <w:rPr>
          <w:rFonts w:ascii="Arial" w:cs="Arial" w:eastAsia="Arial" w:hAnsi="Arial"/>
          <w:color w:val="7A7060"/>
          <w:sz w:val="20"/>
          <w:szCs w:val="20"/>
        </w:rPr>
        <w:t xml:space="preserve">AutoX Co., Ltd. / Ngern Chaiyo</w:t>
      </w:r>
    </w:p>
    <w:p>
      <w:pPr>
        <w:spacing w:after="60" w:before="60"/>
      </w:pPr>
      <w:r>
        <w:t xml:space="preserve"/>
      </w:r>
    </w:p>
    <w:p>
      <w:pPr>
        <w:spacing w:after="60" w:before="0"/>
        <w:jc w:val="center"/>
      </w:pPr>
      <w:r>
        <w:rPr>
          <w:rFonts w:ascii="Arial" w:cs="Arial" w:eastAsia="Arial" w:hAnsi="Arial"/>
          <w:color w:val="7A7060"/>
          <w:sz w:val="20"/>
          <w:szCs w:val="20"/>
        </w:rPr>
        <w:t xml:space="preserve">DATE: 28 March 2026</w:t>
      </w:r>
    </w:p>
    <w:p>
      <w:pPr>
        <w:spacing w:after="60" w:before="0"/>
        <w:jc w:val="center"/>
      </w:pPr>
      <w:r>
        <w:rPr>
          <w:rFonts w:ascii="Arial" w:cs="Arial" w:eastAsia="Arial" w:hAnsi="Arial"/>
          <w:b/>
          <w:bCs/>
          <w:caps/>
          <w:color w:val="8B1D2F"/>
          <w:sz w:val="18"/>
          <w:szCs w:val="18"/>
        </w:rPr>
        <w:t xml:space="preserve">CLASSIFICATION: INTERNAL — STRATEGY</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C0F18"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CTO</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This report delivers a full-stack audit of the Thailand Macro·Labor Intelligence (TMLI) platform across all three identified versions, the live Vercel production environment, and the backend API infrastructure. It maps every feature delta between versions, identifies regressions, evaluates 9 currently integrated external APIs, and proposes 10 additional data integrations to transform TMLI into a genuine descriptive and decisioning engine for Ngern Chaiyo lending operations.</w:t>
            </w:r>
          </w:p>
        </w:tc>
      </w:tr>
    </w:tbl>
    <w:p>
      <w:pPr>
        <w:spacing w:after="60" w:before="60"/>
      </w:pPr>
      <w:r>
        <w:t xml:space="preserve"/>
      </w:r>
    </w:p>
    <w:p>
      <w:pPr>
        <w:spacing w:after="100" w:before="80"/>
        <w:jc w:val="both"/>
      </w:pPr>
      <w:r>
        <w:rPr>
          <w:rFonts w:ascii="Arial" w:cs="Arial" w:eastAsia="Arial" w:hAnsi="Arial"/>
          <w:b w:val="false"/>
          <w:bCs w:val="false"/>
          <w:i w:val="false"/>
          <w:iCs w:val="false"/>
          <w:color w:val="0C0F18"/>
          <w:sz w:val="20"/>
          <w:szCs w:val="20"/>
        </w:rPr>
        <w:t xml:space="preserve">The audit confirms that the live production deployment (V3) is the most sophisticated version of the platform, featuring an 11-module navigation architecture, parallel multi-agent AI analysis, province drill-down panels, and a dark SaaS theme. The workspace copy (public/index.html, 827 lines) represents V2 — a regression from both V1 and V3. The priority action is to synchronise the workspace file with the production version before applying the API augmentation blueprint.</w:t>
      </w:r>
    </w:p>
    <w:p>
      <w:pPr>
        <w:spacing w:after="60" w:before="60"/>
      </w:pPr>
      <w:r>
        <w:t xml:space="preserve"/>
      </w:r>
    </w:p>
    <w:p>
      <w:pPr>
        <w:pStyle w:val="Heading3"/>
        <w:spacing w:after="80" w:before="200"/>
      </w:pPr>
      <w:r>
        <w:rPr>
          <w:rFonts w:ascii="Arial" w:cs="Arial" w:eastAsia="Arial" w:hAnsi="Arial"/>
          <w:b/>
          <w:bCs/>
          <w:color w:val="B8943A"/>
          <w:sz w:val="22"/>
          <w:szCs w:val="22"/>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46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5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Version Drift</w:t>
            </w:r>
          </w:p>
        </w:tc>
        <w:tc>
          <w:tcPr>
            <w:tcW w:type="dxa" w:w="46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Workspace file is V2 (827 lines). Production is V3 (modular, 11 tabs). These are different codebases.</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CRITICAL</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Feature Regression</w:t>
            </w:r>
          </w:p>
        </w:tc>
        <w:tc>
          <w:tcPr>
            <w:tcW w:type="dxa" w:w="46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14 features present in V1 are absent from V2 workspace file</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 Stack</w:t>
            </w:r>
          </w:p>
        </w:tc>
        <w:tc>
          <w:tcPr>
            <w:tcW w:type="dxa" w:w="46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9 external APIs integrated. 6 are confirmed active. 3 are stubs.</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Map Integration</w:t>
            </w:r>
          </w:p>
        </w:tc>
        <w:tc>
          <w:tcPr>
            <w:tcW w:type="dxa" w:w="46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ArcGIS SDK loaded but map renders as placeholder in all versions</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 APIs</w:t>
            </w:r>
          </w:p>
        </w:tc>
        <w:tc>
          <w:tcPr>
            <w:tcW w:type="dxa" w:w="46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10 high-value data sources not yet integrated</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UXUI</w:t>
            </w:r>
          </w:p>
        </w:tc>
        <w:tc>
          <w:tcPr>
            <w:tcW w:type="dxa" w:w="46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Newspaper-like design (IBM Plex Mono + Libre Baskerville + paper bg) is PRESENT in V1/V2. V3 uses dark SaaS theme.</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NOTE</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AI Model</w:t>
            </w:r>
          </w:p>
        </w:tc>
        <w:tc>
          <w:tcPr>
            <w:tcW w:type="dxa" w:w="46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V1 uses Claude Sonnet directly. V2/V3 uses Gemini Flash via proxy.</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Error Handling</w:t>
            </w:r>
          </w:p>
        </w:tc>
        <w:tc>
          <w:tcPr>
            <w:tcW w:type="dxa" w:w="46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V2 uses naive alert() for errors. V1 and V3 have proper error states.</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2. Version Inventory &amp; Comparison Matrix</w:t>
      </w:r>
    </w:p>
    <w:p>
      <w:pPr>
        <w:pStyle w:val="Heading2"/>
        <w:spacing w:after="120" w:before="280"/>
      </w:pPr>
      <w:r>
        <w:rPr>
          <w:rFonts w:ascii="Arial" w:cs="Arial" w:eastAsia="Arial" w:hAnsi="Arial"/>
          <w:b/>
          <w:bCs/>
          <w:color w:val="1B3F7A"/>
          <w:sz w:val="26"/>
          <w:szCs w:val="26"/>
        </w:rPr>
        <w:t xml:space="preserve">2.1 Three Identified Versions</w:t>
      </w:r>
    </w:p>
    <w:p>
      <w:pPr>
        <w:spacing w:after="100" w:before="80"/>
        <w:jc w:val="both"/>
      </w:pPr>
      <w:r>
        <w:rPr>
          <w:rFonts w:ascii="Arial" w:cs="Arial" w:eastAsia="Arial" w:hAnsi="Arial"/>
          <w:b w:val="false"/>
          <w:bCs w:val="false"/>
          <w:i w:val="false"/>
          <w:iCs w:val="false"/>
          <w:color w:val="0C0F18"/>
          <w:sz w:val="20"/>
          <w:szCs w:val="20"/>
        </w:rPr>
        <w:t xml:space="preserve">The audit identified three distinct versions of TMLI, each materially different in architecture, feature completeness, and AI integration strategy.</w:t>
      </w:r>
    </w:p>
    <w:p>
      <w:pPr>
        <w:spacing w:after="60" w:before="60"/>
      </w:pPr>
      <w:r>
        <w:t xml:space="preserve"/>
      </w:r>
    </w:p>
    <w:p>
      <w:pPr>
        <w:pStyle w:val="Heading3"/>
        <w:spacing w:after="80" w:before="200"/>
      </w:pPr>
      <w:r>
        <w:rPr>
          <w:rFonts w:ascii="Arial" w:cs="Arial" w:eastAsia="Arial" w:hAnsi="Arial"/>
          <w:b/>
          <w:bCs/>
          <w:color w:val="B8943A"/>
          <w:sz w:val="22"/>
          <w:szCs w:val="22"/>
        </w:rPr>
        <w:t xml:space="preserve">Version 1 — Original Build (thailand-macro-analyzer.html, 1,855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3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Build Sessions</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March 6, 2026 — Sessions 1 and 2</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Architecture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Single-file HTML (self-contained, no server required)</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AI Backend</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Direct Anthropic Claude API (claude-sonnet-4-20250514) — user-supplied key</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Events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18 full events with rich multi-paragraph context strings (300-500 words each)</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Tabs</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5: Overview, Professions, Industries, Timeline, Actions</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Mock Mode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Yes — boots in demo mode with pre-built Hormuz Crisis analysis</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 Cost</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~$0.015–0.025 per analysis at ~3,500 input + 4,000 output tokens</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Deployment</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Browser-only (no server)</w:t>
            </w:r>
          </w:p>
        </w:tc>
      </w:tr>
    </w:tbl>
    <w:p>
      <w:pPr>
        <w:spacing w:after="60" w:before="60"/>
      </w:pPr>
      <w:r>
        <w:t xml:space="preserve"/>
      </w:r>
    </w:p>
    <w:p>
      <w:pPr>
        <w:pStyle w:val="Heading3"/>
        <w:spacing w:after="80" w:before="200"/>
      </w:pPr>
      <w:r>
        <w:rPr>
          <w:rFonts w:ascii="Arial" w:cs="Arial" w:eastAsia="Arial" w:hAnsi="Arial"/>
          <w:b/>
          <w:bCs/>
          <w:color w:val="B8943A"/>
          <w:sz w:val="22"/>
          <w:szCs w:val="22"/>
        </w:rPr>
        <w:t xml:space="preserve">Version 2 — Rebuild #1 (public/index.html, 827 lines) — CURRENT WORKSPACE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3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Build Date</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March 2026 (post V1)</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Architecture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Single-file HTML + Vercel serverless API functions</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AI Backend</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Google Gemini Flash (gemini-2.0-flash) via /api/analyze proxy</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Events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7 events (simplified prompts, stripped context strings)</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Tabs</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7: Overview, Professions, Industries, AutoX Strategy, Regional, Timeline, Actions</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Mock Mode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None — live API only</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 vs V1</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AutoX Branch data (1,972 branches, 77 provinces), NC Products (8), Progress bar, KPI row, Risk Register</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Backend APIs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9 Vercel serverless functions: analyze, data-enrichment, nso, gistda, climate, nabc, oil-price, skillmapping + missing oil-price in vercel.json</w:t>
            </w:r>
          </w:p>
        </w:tc>
      </w:tr>
    </w:tbl>
    <w:p>
      <w:pPr>
        <w:spacing w:after="60" w:before="60"/>
      </w:pPr>
      <w:r>
        <w:t xml:space="preserve"/>
      </w:r>
    </w:p>
    <w:p>
      <w:pPr>
        <w:pStyle w:val="Heading3"/>
        <w:spacing w:after="80" w:before="200"/>
      </w:pPr>
      <w:r>
        <w:rPr>
          <w:rFonts w:ascii="Arial" w:cs="Arial" w:eastAsia="Arial" w:hAnsi="Arial"/>
          <w:b/>
          <w:bCs/>
          <w:color w:val="B8943A"/>
          <w:sz w:val="22"/>
          <w:szCs w:val="22"/>
        </w:rPr>
        <w:t xml:space="preserve">Version 3 — Production SaaS Upgrade (LIVE on Vercel) — MOST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3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URL</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thailand-labor-intel.vercel.app (latest: thailand-labor-intel-5yxy5dfz6)</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Architecture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Multi-file modular JS (events.js, provinces.js, api-client.js, render-engine.js, executive-home.js, app-logic.js) + saas-theme.css</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AI Backend</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Multi-agent parallel: 4 simultaneous agents (overview, labor, commodities, strategy)</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Events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14+ events with full context strings (restored)</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Navigation</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11 modules: EXECUTIVE, INTELLIGENCE, FORECASTS, WORKFORCE, INDUSTRIES, REGIONAL, BRANCHES, NC STRATEGY, GISTDA, REPORTS, CATALOG</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Theme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Dark SaaS theme (departure from newspaper UXUI)</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Deployments</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20+ deployments recorded. Latest: dpl_rURDqEmJbwUopUxekfpeF8FmvDq2 (28 Mar 2026)</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Key Features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Province drill-down panel, Executive Home baseline, Synergy comparison mode, Board-ready print report, NABC live commodity prices, ArcGIS map (initThailandMap() called)</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3. Feature Gap Analysis — Complete Matrix</w:t>
      </w:r>
    </w:p>
    <w:p>
      <w:pPr>
        <w:pStyle w:val="Heading2"/>
        <w:spacing w:after="120" w:before="280"/>
      </w:pPr>
      <w:r>
        <w:rPr>
          <w:rFonts w:ascii="Arial" w:cs="Arial" w:eastAsia="Arial" w:hAnsi="Arial"/>
          <w:b/>
          <w:bCs/>
          <w:color w:val="1B3F7A"/>
          <w:sz w:val="26"/>
          <w:szCs w:val="26"/>
        </w:rPr>
        <w:t xml:space="preserve">3.1 Feature Status Across All Versions</w:t>
      </w:r>
    </w:p>
    <w:p>
      <w:pPr>
        <w:spacing w:after="100" w:before="80"/>
        <w:jc w:val="both"/>
      </w:pPr>
      <w:r>
        <w:rPr>
          <w:rFonts w:ascii="Arial" w:cs="Arial" w:eastAsia="Arial" w:hAnsi="Arial"/>
          <w:b w:val="false"/>
          <w:bCs w:val="false"/>
          <w:i w:val="false"/>
          <w:iCs w:val="false"/>
          <w:color w:val="0C0F18"/>
          <w:sz w:val="20"/>
          <w:szCs w:val="20"/>
        </w:rPr>
        <w:t xml:space="preserve">The following matrix maps every identified feature across V1 (original), V2 (workspace), and V3 (production). Features regressed in V2 but recovered in V3 are flagged in red. Features unique to each version are annotated.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700"/>
        <w:gridCol w:w="1900"/>
        <w:gridCol w:w="1460"/>
      </w:tblGrid>
      <w:tr>
        <w:trPr>
          <w:tblHeader/>
        </w:trPr>
        <w:tc>
          <w:tcPr>
            <w:tcW w:type="dxa" w:w="3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1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V1</w:t>
            </w:r>
          </w:p>
        </w:tc>
        <w:tc>
          <w:tcPr>
            <w:tcW w:type="dxa" w:w="17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V2 (workspace)</w:t>
            </w:r>
          </w:p>
        </w:tc>
        <w:tc>
          <w:tcPr>
            <w:tcW w:type="dxa" w:w="19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V3 (production)</w:t>
            </w:r>
          </w:p>
        </w:tc>
        <w:tc>
          <w:tcPr>
            <w:tcW w:type="dxa" w:w="14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Score ring with legend tooltip (?)</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Compare mode (multi-event)</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(4 scenarios)</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AbortController (cancel analysis)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Session/localStorage caching</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Robust 4-pass JSON parser</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 (regex only)</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18 events with rich context</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(18 events)</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 (7 simplified)</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(14+)</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missing 4 events</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Filter/sort professions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Adaptation paths per profession</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Profession tags (Informal, Export-dep.)</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Industry sub-occupations (4 per)</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Industry key actions (3 per)</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to V2 workspace</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4-phase timeline (incl. Long-term 3yr+)</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 (3-phase)</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(4-phase)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Phase 4 to V2</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Jobs Lost / Jobs Created KPIs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to V2 KPI row</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Executive Home / Institutional Baseline</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NEW in V3</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Consider adding to V2</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Province drill-down panel</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 in V3</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Priority add to V2</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Multi-agent parallel analysis</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NEW in V3 (4 agents)</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Adopt in V2</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Board-ready print cover sheet</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 in V3</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to V2</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Synergy comparison mode</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NEW in V3</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to V2</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NABC live commodity prices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 in V3</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 stub — expand</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ArcGIS choropleth map</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 (placeholder)</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 (called but TBD)</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IMPLEMENT</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AutoX Branch network (1,972)</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Maintained</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NC Products (8)</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Maintained</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Progress bar / phased loading</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PARTIAL</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 (% with labels)</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Maintained</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Risk Register (with severity badges)</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(8 risks)</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Maintained</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ECharts integration</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LOADED (unused)</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Implement in V2</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Export CSV (UTF-8 BOM)</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Maintained</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Print CSS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PARTIAL</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Improve in V2</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ARIA accessibility</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Full ARIA audit</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Toast notifications</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to V2</w:t>
            </w:r>
          </w:p>
        </w:tc>
      </w:tr>
      <w:tr>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Custom scenario modal</w:t>
            </w:r>
          </w:p>
        </w:tc>
        <w:tc>
          <w:tcPr>
            <w:tcW w:type="dxa" w:w="1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1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4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to V2</w:t>
            </w:r>
          </w:p>
        </w:tc>
      </w:tr>
      <w:tr>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Newspaper UXUI (paper/serif/mono)</w:t>
            </w:r>
          </w:p>
        </w:tc>
        <w:tc>
          <w:tcPr>
            <w:tcW w:type="dxa" w:w="1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1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LOST (dark SaaS)</w:t>
            </w:r>
          </w:p>
        </w:tc>
        <w:tc>
          <w:tcPr>
            <w:tcW w:type="dxa" w:w="14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 in V2</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8B1D2F"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CRITICAL: The V3 production deployment uses a dark SaaS theme that ABANDONS the newspaper-like UXUI (paper background, Libre Baskerville serif, IBM Plex Mono). Any augmentation of the workspace file (V2) must preserve the paper/serif/monospace design system as the strategic differentiator.</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4. Current API Integration Audit</w:t>
      </w:r>
    </w:p>
    <w:p>
      <w:pPr>
        <w:pStyle w:val="Heading2"/>
        <w:spacing w:after="120" w:before="280"/>
      </w:pPr>
      <w:r>
        <w:rPr>
          <w:rFonts w:ascii="Arial" w:cs="Arial" w:eastAsia="Arial" w:hAnsi="Arial"/>
          <w:b/>
          <w:bCs/>
          <w:color w:val="1B3F7A"/>
          <w:sz w:val="26"/>
          <w:szCs w:val="26"/>
        </w:rPr>
        <w:t xml:space="preserve">4.1 Backend API Inventory (9 Vercel Functions)</w:t>
      </w:r>
    </w:p>
    <w:p>
      <w:pPr>
        <w:spacing w:after="100" w:before="80"/>
        <w:jc w:val="both"/>
      </w:pPr>
      <w:r>
        <w:rPr>
          <w:rFonts w:ascii="Arial" w:cs="Arial" w:eastAsia="Arial" w:hAnsi="Arial"/>
          <w:b w:val="false"/>
          <w:bCs w:val="false"/>
          <w:i w:val="false"/>
          <w:iCs w:val="false"/>
          <w:color w:val="0C0F18"/>
          <w:sz w:val="20"/>
          <w:szCs w:val="20"/>
        </w:rPr>
        <w:t xml:space="preserve">The following serverless functions are registered in the Vercel project. Status is based on code review, vercel.json configuration, and runtime log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900"/>
        <w:gridCol w:w="2860"/>
      </w:tblGrid>
      <w:tr>
        <w:trPr>
          <w:tblHeader/>
        </w:trPr>
        <w:tc>
          <w:tcPr>
            <w:tcW w:type="dxa" w:w="14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API File</w:t>
            </w:r>
          </w:p>
        </w:tc>
        <w:tc>
          <w:tcPr>
            <w:tcW w:type="dxa" w:w="2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External Service</w:t>
            </w:r>
          </w:p>
        </w:tc>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Data Provided</w:t>
            </w:r>
          </w:p>
        </w:tc>
        <w:tc>
          <w:tcPr>
            <w:tcW w:type="dxa" w:w="9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8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Issues Found</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api/analyze.js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Google Gemini 2.0 Flash</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AI analysis — streamed JSON</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Model fallback chain (2.0-flash → 1.5-flash → flash-latest). No CORS OPTIONS handler.</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api/data-enrichment.js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World Bank, ILO, NSO, GISTDA, (all parallel)</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Labour force, GDP, unemployment, CPI, sector employment, satellite crop data</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NSO JWT token hardcoded in plaintext. GISTDA key hardcoded. Should use env vars.</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api/nso.js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NSO Thailand (gdcatalog.go.th)</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Business activity stats by region</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Same hardcoded JWT issue. No CORS OPTIONS handler.</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api/gistda.js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GISTDA Satellite API v2.2</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Crop monitoring (rice/rubber/palm/sugarcane/maize/cassava) by lat/lon</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 key hardcoded. Endpoint names may drift with GISTDA API version updates.</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api/climate.js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Open-Meteo (free, no key)</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PM2.5, drought index, flood risk by lat/lon</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No auth required. Normalises to GISTDA shape for UI compatibility. Solid.</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api/nabc.js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NABC agriapi.nabc.go.th</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Agricultural commodity prices (Thai)</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STUB</w:t>
            </w:r>
          </w:p>
        </w:tc>
        <w:tc>
          <w:tcPr>
            <w:tcW w:type="dxa" w:w="2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Path proxy only. No specific paths called from frontend. Needs endpoint mapping.</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api/oil-price.js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Yahoo Finance (CL=F)</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WTI crude oil front-month futures</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w:t>
            </w:r>
          </w:p>
        </w:tc>
        <w:tc>
          <w:tcPr>
            <w:tcW w:type="dxa" w:w="2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NOT listed in vercel.json — will fail with 404 on Hobby plan. Must add to functions config.</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api/skillmapping.js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skillmapping.in.th</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Career paths and skills by industry ID</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STUB</w:t>
            </w:r>
          </w:p>
        </w:tc>
        <w:tc>
          <w:tcPr>
            <w:tcW w:type="dxa" w:w="2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Only proxies GET requests. No frontend calls observed. Integration incomplete.</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(not yet built)</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Bank of Thailand BOT API</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Exchange rates (8 APIs), interest rates (12 APIs), debt securities</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MISSING</w:t>
            </w:r>
          </w:p>
        </w:tc>
        <w:tc>
          <w:tcPr>
            <w:tcW w:type="dxa" w:w="2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BOT API portal live at portal.api.bot.or.th. 500+ data series available. Critical gap.</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8B1D2F"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SEC</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SECURITY ALERT: NSO JWT tokens and GISTDA API keys are hardcoded as string literals in api/nso.js, api/gistda.js, and api/data-enrichment.js. These must be migrated immediately to Vercel Environment Variables (VERCEL_NSO_TOKEN, VERCEL_GISTDA_KEY) and removed from source code before any public repo exposure.</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5. Proposed API Acquisitions — Decisioning Engine Blueprint</w:t>
      </w:r>
    </w:p>
    <w:p>
      <w:pPr>
        <w:pStyle w:val="Heading2"/>
        <w:spacing w:after="120" w:before="280"/>
      </w:pPr>
      <w:r>
        <w:rPr>
          <w:rFonts w:ascii="Arial" w:cs="Arial" w:eastAsia="Arial" w:hAnsi="Arial"/>
          <w:b/>
          <w:bCs/>
          <w:color w:val="1B3F7A"/>
          <w:sz w:val="26"/>
          <w:szCs w:val="26"/>
        </w:rPr>
        <w:t xml:space="preserve">5.1 Strategic Rationale</w:t>
      </w:r>
    </w:p>
    <w:p>
      <w:pPr>
        <w:spacing w:after="100" w:before="80"/>
        <w:jc w:val="both"/>
      </w:pPr>
      <w:r>
        <w:rPr>
          <w:rFonts w:ascii="Arial" w:cs="Arial" w:eastAsia="Arial" w:hAnsi="Arial"/>
          <w:b w:val="false"/>
          <w:bCs w:val="false"/>
          <w:i w:val="false"/>
          <w:iCs w:val="false"/>
          <w:color w:val="0C0F18"/>
          <w:sz w:val="20"/>
          <w:szCs w:val="20"/>
        </w:rPr>
        <w:t xml:space="preserve">TMLI's stated mission is to be a descriptive and decisioning engine for Ngern Chaiyo lending operations. To achieve this, the platform needs three data layers beyond what it currently has:</w:t>
      </w:r>
    </w:p>
    <w:p>
      <w:pPr>
        <w:pStyle w:val="ListParagraph"/>
        <w:numPr>
          <w:ilvl w:val="0"/>
          <w:numId w:val="2"/>
        </w:numPr>
        <w:spacing w:after="60" w:before="60"/>
      </w:pPr>
      <w:r>
        <w:rPr>
          <w:rFonts w:ascii="Arial" w:cs="Arial" w:eastAsia="Arial" w:hAnsi="Arial"/>
          <w:color w:val="0C0F18"/>
          <w:sz w:val="20"/>
          <w:szCs w:val="20"/>
        </w:rPr>
        <w:t xml:space="preserve">Layer 1 — Macro Grounding: Real-time economic indicators that contextualise the AI's analysis with authoritative institutional data (BOT, IMF, NESDC, World Bank).</w:t>
      </w:r>
    </w:p>
    <w:p>
      <w:pPr>
        <w:pStyle w:val="ListParagraph"/>
        <w:numPr>
          <w:ilvl w:val="0"/>
          <w:numId w:val="2"/>
        </w:numPr>
        <w:spacing w:after="60" w:before="60"/>
      </w:pPr>
      <w:r>
        <w:rPr>
          <w:rFonts w:ascii="Arial" w:cs="Arial" w:eastAsia="Arial" w:hAnsi="Arial"/>
          <w:color w:val="0C0F18"/>
          <w:sz w:val="20"/>
          <w:szCs w:val="20"/>
        </w:rPr>
        <w:t xml:space="preserve">Layer 2 — Market Signal Layer: Live commodity prices, currency rates, and trade flows that directly affect the income of Thai workers across agriculture, transport, and manufacturing.</w:t>
      </w:r>
    </w:p>
    <w:p>
      <w:pPr>
        <w:pStyle w:val="ListParagraph"/>
        <w:numPr>
          <w:ilvl w:val="0"/>
          <w:numId w:val="2"/>
        </w:numPr>
        <w:spacing w:after="60" w:before="60"/>
      </w:pPr>
      <w:r>
        <w:rPr>
          <w:rFonts w:ascii="Arial" w:cs="Arial" w:eastAsia="Arial" w:hAnsi="Arial"/>
          <w:color w:val="0C0F18"/>
          <w:sz w:val="20"/>
          <w:szCs w:val="20"/>
        </w:rPr>
        <w:t xml:space="preserve">Layer 3 — Credit Decisioning Layer: Sector-level NPL trends, household debt, and credit risk signals that allow Ngern Chaiyo field teams to calibrate loan product deployment by province and profession.</w:t>
      </w:r>
    </w:p>
    <w:p>
      <w:pPr>
        <w:spacing w:after="60" w:before="60"/>
      </w:pPr>
      <w:r>
        <w:t xml:space="preserve"/>
      </w:r>
    </w:p>
    <w:p>
      <w:pPr>
        <w:pStyle w:val="Heading2"/>
        <w:spacing w:after="120" w:before="280"/>
      </w:pPr>
      <w:r>
        <w:rPr>
          <w:rFonts w:ascii="Arial" w:cs="Arial" w:eastAsia="Arial" w:hAnsi="Arial"/>
          <w:b/>
          <w:bCs/>
          <w:color w:val="1B3F7A"/>
          <w:sz w:val="26"/>
          <w:szCs w:val="26"/>
        </w:rPr>
        <w:t xml:space="preserve">5.2 Priority API Acquisitions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800"/>
        <w:gridCol w:w="1700"/>
        <w:gridCol w:w="2200"/>
        <w:gridCol w:w="1060"/>
      </w:tblGrid>
      <w:tr>
        <w:trPr>
          <w:tblHeader/>
        </w:trPr>
        <w:tc>
          <w:tcPr>
            <w:tcW w:type="dxa" w:w="6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5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API / Source</w:t>
            </w:r>
          </w:p>
        </w:tc>
        <w:tc>
          <w:tcPr>
            <w:tcW w:type="dxa" w:w="18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17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Endpoint / Access</w:t>
            </w:r>
          </w:p>
        </w:tc>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Use Case for TMLI</w:t>
            </w:r>
          </w:p>
        </w:tc>
        <w:tc>
          <w:tcPr>
            <w:tcW w:type="dxa" w:w="10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P0</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Bank of Thailand (BOT) API</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Policy rate, MLR/MRR lending rates, THB exchange rates (12 series), debt securities yields</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portal.api.bot.or.th — REST, free registration required</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Real-time Thai interest rate overlay on profession impact. THB/USD live rate feeds all import-cost calculations. Credit cost for NC products.</w:t>
            </w:r>
          </w:p>
        </w:tc>
        <w:tc>
          <w:tcPr>
            <w:tcW w:type="dxa" w:w="10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P0</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BOT Financial Stability Data</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NPL ratios by sector, household debt/GDP, credit growth by loan type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bot.or.th/en/statistics.html — JSON downloads or scrape</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Core decisioning signal: if NPL in agriculture &gt;5%, adjust Agri WC product risk rating. Province-level credit risk heat map.</w:t>
            </w:r>
          </w:p>
        </w:tc>
        <w:tc>
          <w:tcPr>
            <w:tcW w:type="dxa" w:w="10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P0</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IMF DataMapper API</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WEO projections (GDP, CPI, unemployment) for Thailand 2025–2030. ASEAN comparative data.</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imf.org/external/datamapper/api/v1/NGDP_RPCH/THA</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Ground AI forecasts in IMF forward guidance. Thailand 2026 GDP projected at 1.6%. Conflict AI overconfidence.</w:t>
            </w:r>
          </w:p>
        </w:tc>
        <w:tc>
          <w:tcPr>
            <w:tcW w:type="dxa" w:w="10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P1</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UN Comtrade API</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Thailand's monthly export/import by HS code (electronics, auto parts, rubber, rice, seafood, gems)</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comtradeplus.un.org — REST API, free key required</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When tariff events fire, show actual export exposure by product category. Quantify how many workers depend on each export stream.</w:t>
            </w:r>
          </w:p>
        </w:tc>
        <w:tc>
          <w:tcPr>
            <w:tcW w:type="dxa" w:w="10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Free tier available</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P1</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NESDC GDP &amp; Indicators</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Quarterly GDP by sector, private consumption, investment, government spending</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nesdc.go.th — PDF/Excel releases. Scrape or use World Bank mirror.</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Quarterly economic context for all event analyses. NESDC projects 1.2–2.2% growth for 2026 — a critical baseline.</w:t>
            </w:r>
          </w:p>
        </w:tc>
        <w:tc>
          <w:tcPr>
            <w:tcW w:type="dxa" w:w="10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P1</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CME Group / CBOT Commodity Prices</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Rubber (TSR20), Palm Oil (FCPO), Rice (CBOT), Sugar #11, Natural Gas</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financialmodelingprep.com or alphavantage.co — commodity endpoints</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Real-time commodity price panel for agricultural professions. Rice price up 15% = positive for farmers but negative for food vendors. Critical signal.</w:t>
            </w:r>
          </w:p>
        </w:tc>
        <w:tc>
          <w:tcPr>
            <w:tcW w:type="dxa" w:w="10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$10-50/mo</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P1</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Alpha Vantage FX &amp; Commodities</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THB/USD real-time, Gold (XAU/THB), WTI, Brent, commodity basket</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alphavantage.co — REST, free key (500 calls/day)</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Gold price is critical for Ngern Chaiyo gold-backed loans. THB depreciation affects all import-exposed professions. Replace Yahoo Finance.</w:t>
            </w:r>
          </w:p>
        </w:tc>
        <w:tc>
          <w:tcPr>
            <w:tcW w:type="dxa" w:w="10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Free / $50/mo</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P2</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ILO ILOSTAT (expanded)</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Wage by occupation and sector, working hours, informal employment rate by province</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rplumber.ilo.org/data/indicator — REST (already partially integrated)</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Expand current partial integration to include wage-by-occupation series (EAR_4MTH_SEX_ECO_CUR_NB_A). Grounds THB impact figures in real data rather than AI estimates.</w:t>
            </w:r>
          </w:p>
        </w:tc>
        <w:tc>
          <w:tcPr>
            <w:tcW w:type="dxa" w:w="10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P2</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ADB Key Indicators API</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ASEAN regional comparison: Thailand vs Vietnam/Indonesia/Malaysia on labour, investment, poverty</w:t>
            </w:r>
          </w:p>
        </w:tc>
        <w:tc>
          <w:tcPr>
            <w:tcW w:type="dxa" w:w="17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kidb.adb.org — REST API</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Adds regional competitive intelligence module. Shows if Thai workers face structural disadvantage vs ASEAN peers under tariff/EV scenarios.</w:t>
            </w:r>
          </w:p>
        </w:tc>
        <w:tc>
          <w:tcPr>
            <w:tcW w:type="dxa" w:w="10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Free</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P2</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Open-Meteo Historical Climate</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Historical drought index, flood frequency, temperature anomalies by Thai province (1980–2026)</w:t>
            </w:r>
          </w:p>
        </w:tc>
        <w:tc>
          <w:tcPr>
            <w:tcW w:type="dxa" w:w="17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api.open-meteo.com/v1/archive (already have real-time)</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Historical climate risk scoring per province. Enables climate risk layer on branch deployment map. Extend existing climate.js.</w:t>
            </w:r>
          </w:p>
        </w:tc>
        <w:tc>
          <w:tcPr>
            <w:tcW w:type="dxa" w:w="10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Free</w:t>
            </w:r>
          </w:p>
        </w:tc>
      </w:tr>
    </w:tbl>
    <w:p>
      <w:r>
        <w:br w:type="page"/>
      </w:r>
    </w:p>
    <w:p>
      <w:pPr>
        <w:pStyle w:val="Heading2"/>
        <w:spacing w:after="120" w:before="280"/>
      </w:pPr>
      <w:r>
        <w:rPr>
          <w:rFonts w:ascii="Arial" w:cs="Arial" w:eastAsia="Arial" w:hAnsi="Arial"/>
          <w:b/>
          <w:bCs/>
          <w:color w:val="1B3F7A"/>
          <w:sz w:val="26"/>
          <w:szCs w:val="26"/>
        </w:rPr>
        <w:t xml:space="preserve">5.3 API Integration Architecture</w:t>
      </w:r>
    </w:p>
    <w:p>
      <w:pPr>
        <w:spacing w:after="100" w:before="80"/>
        <w:jc w:val="both"/>
      </w:pPr>
      <w:r>
        <w:rPr>
          <w:rFonts w:ascii="Arial" w:cs="Arial" w:eastAsia="Arial" w:hAnsi="Arial"/>
          <w:b w:val="false"/>
          <w:bCs w:val="false"/>
          <w:i w:val="false"/>
          <w:iCs w:val="false"/>
          <w:color w:val="0C0F18"/>
          <w:sz w:val="20"/>
          <w:szCs w:val="20"/>
        </w:rPr>
        <w:t xml:space="preserve">The following architecture ensures all new APIs feed into a unified data enrichment layer before reaching the AI analysis engine, grounding every analysis in live institutional data rather than training data alone.</w:t>
      </w:r>
    </w:p>
    <w:p>
      <w:pPr>
        <w:spacing w:after="60" w:before="60"/>
      </w:pPr>
      <w:r>
        <w:t xml:space="preserve"/>
      </w:r>
    </w:p>
    <w:p>
      <w:pPr>
        <w:pStyle w:val="Heading3"/>
        <w:spacing w:after="80" w:before="200"/>
      </w:pPr>
      <w:r>
        <w:rPr>
          <w:rFonts w:ascii="Arial" w:cs="Arial" w:eastAsia="Arial" w:hAnsi="Arial"/>
          <w:b/>
          <w:bCs/>
          <w:color w:val="B8943A"/>
          <w:sz w:val="22"/>
          <w:szCs w:val="22"/>
        </w:rPr>
        <w:t xml:space="preserve">Enriched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Event Selection (Frontend)</w:t>
            </w:r>
          </w:p>
        </w:tc>
        <w:tc>
          <w:tcPr>
            <w:tcW w:type="dxa" w:w="65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User selects macro event. Frontend triggers /api/data-enrichment with event context.</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/api/data-enrichment (expanded)</w:t>
            </w:r>
          </w:p>
        </w:tc>
        <w:tc>
          <w:tcPr>
            <w:tcW w:type="dxa" w:w="65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Parallel fetches: BOT rates + IMF projections + World Bank labour + ILO wages + UN Comtrade exports + Commodity prices + GISTDA crop data + Climate risk. Returns unified enrichment JSON.</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Prompt Enrichment</w:t>
            </w:r>
          </w:p>
        </w:tc>
        <w:tc>
          <w:tcPr>
            <w:tcW w:type="dxa" w:w="65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buildPrompt() injects enrichment JSON into AI prompt: "Live BOT policy rate: 2.5%. WTI crude: $88/bbl. Thai rubber: $1.82/kg. IMF 2026 GDP: 1.6%..."</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/api/analyze (Gemini)</w:t>
            </w:r>
          </w:p>
        </w:tc>
        <w:tc>
          <w:tcPr>
            <w:tcW w:type="dxa" w:w="65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AI receives grounded prompt with real data. Produces analysis that cannot hallucinate macro figures — they are pinned by real values.</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5</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Multi-Agent Parallel</w:t>
            </w:r>
          </w:p>
        </w:tc>
        <w:tc>
          <w:tcPr>
            <w:tcW w:type="dxa" w:w="65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4 agents simultaneously: overview, labor, commodities, strategy. Results merged client-side.</w:t>
            </w:r>
          </w:p>
        </w:tc>
      </w:tr>
      <w:tr>
        <w:tc>
          <w:tcPr>
            <w:tcW w:type="dxa" w:w="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6</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Province Drill-Down</w:t>
            </w:r>
          </w:p>
        </w:tc>
        <w:tc>
          <w:tcPr>
            <w:tcW w:type="dxa" w:w="65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On province click: fetch BOT NPL data for that province + branch count + ILO wage data for top professions. Produce AI province brief grounded in real credit risk data.</w:t>
            </w:r>
          </w:p>
        </w:tc>
      </w:tr>
      <w:tr>
        <w:tc>
          <w:tcPr>
            <w:tcW w:type="dxa" w:w="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7</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Decisioning Engine Output</w:t>
            </w:r>
          </w:p>
        </w:tc>
        <w:tc>
          <w:tcPr>
            <w:tcW w:type="dxa" w:w="65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NC product recommendations scored by: income shock severity × credit risk tier × branch proximity. Ranked output with confidence score.</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6. UXUI Audit — Newspaper-Like Design Preservation</w:t>
      </w:r>
    </w:p>
    <w:p>
      <w:pPr>
        <w:pStyle w:val="Heading2"/>
        <w:spacing w:after="120" w:before="280"/>
      </w:pPr>
      <w:r>
        <w:rPr>
          <w:rFonts w:ascii="Arial" w:cs="Arial" w:eastAsia="Arial" w:hAnsi="Arial"/>
          <w:b/>
          <w:bCs/>
          <w:color w:val="1B3F7A"/>
          <w:sz w:val="26"/>
          <w:szCs w:val="26"/>
        </w:rPr>
        <w:t xml:space="preserve">6.1 Design System Inventory</w:t>
      </w:r>
    </w:p>
    <w:p>
      <w:pPr>
        <w:spacing w:after="100" w:before="80"/>
        <w:jc w:val="both"/>
      </w:pPr>
      <w:r>
        <w:rPr>
          <w:rFonts w:ascii="Arial" w:cs="Arial" w:eastAsia="Arial" w:hAnsi="Arial"/>
          <w:b w:val="false"/>
          <w:bCs w:val="false"/>
          <w:i w:val="false"/>
          <w:iCs w:val="false"/>
          <w:color w:val="0C0F18"/>
          <w:sz w:val="20"/>
          <w:szCs w:val="20"/>
        </w:rPr>
        <w:t xml:space="preserve">The newspaper-like UXUI is the TMLI platform's primary visual differentiator from commodity fintech dashboards. It must be preserved in any augmentation of the workspace version (V2). The following tokens are the canonical design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1300"/>
        <w:gridCol w:w="2960"/>
      </w:tblGrid>
      <w:tr>
        <w:trPr>
          <w:tblHeader/>
        </w:trPr>
        <w:tc>
          <w:tcPr>
            <w:tcW w:type="dxa" w:w="14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5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13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Status in V2</w:t>
            </w:r>
          </w:p>
        </w:tc>
        <w:tc>
          <w:tcPr>
            <w:tcW w:type="dxa" w:w="29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Status in V3</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--paper</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#F3EDE1 / #F5F0E8</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Page background (parchment)</w:t>
            </w:r>
          </w:p>
        </w:tc>
        <w:tc>
          <w:tcPr>
            <w:tcW w:type="dxa" w:w="13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LOST (dark bg)</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--ink</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#0C0F18</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Primary text (near-black)</w:t>
            </w:r>
          </w:p>
        </w:tc>
        <w:tc>
          <w:tcPr>
            <w:tcW w:type="dxa" w:w="13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LOST (white)</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--surface</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#FDFAF4</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Card backgrounds</w:t>
            </w:r>
          </w:p>
        </w:tc>
        <w:tc>
          <w:tcPr>
            <w:tcW w:type="dxa" w:w="13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LOST</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--gold</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#B8943A</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Accent, active states</w:t>
            </w:r>
          </w:p>
        </w:tc>
        <w:tc>
          <w:tcPr>
            <w:tcW w:type="dxa" w:w="13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PARTIALLY (nav accent)</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--red</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#8B1D2F</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Critical / negative</w:t>
            </w:r>
          </w:p>
        </w:tc>
        <w:tc>
          <w:tcPr>
            <w:tcW w:type="dxa" w:w="13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Libre Baskerville</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Serif, 15-28px</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Headings, banners, card titles</w:t>
            </w:r>
          </w:p>
        </w:tc>
        <w:tc>
          <w:tcPr>
            <w:tcW w:type="dxa" w:w="13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LOST (Outfit/Inter)</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IBM Plex Mono</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Monospace, 8-11px</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KPIs, tags, metadata, ribbon</w:t>
            </w:r>
          </w:p>
        </w:tc>
        <w:tc>
          <w:tcPr>
            <w:tcW w:type="dxa" w:w="13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PARTIALLY</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Noto Sans Thai</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Sans-serif, 11-14px</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Body text, Thai-language support</w:t>
            </w:r>
          </w:p>
        </w:tc>
        <w:tc>
          <w:tcPr>
            <w:tcW w:type="dxa" w:w="13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r>
      <w:tr>
        <w:tc>
          <w:tcPr>
            <w:tcW w:type="dxa" w:w="1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Sidebar dark (#0C0F18)</w:t>
            </w:r>
          </w:p>
        </w:tc>
        <w:tc>
          <w:tcPr>
            <w:tcW w:type="dxa" w:w="15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Dark sidebar on light body</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Newspaper column left-hand nav</w:t>
            </w:r>
          </w:p>
        </w:tc>
        <w:tc>
          <w:tcPr>
            <w:tcW w:type="dxa" w:w="13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LOST (full dark)</w:t>
            </w:r>
          </w:p>
        </w:tc>
      </w:tr>
      <w:tr>
        <w:tc>
          <w:tcPr>
            <w:tcW w:type="dxa" w:w="1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Ribbon (black bar)</w:t>
            </w:r>
          </w:p>
        </w:tc>
        <w:tc>
          <w:tcPr>
            <w:tcW w:type="dxa" w:w="15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Top news-ticker bar</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Live data / clock display</w:t>
            </w:r>
          </w:p>
        </w:tc>
        <w:tc>
          <w:tcPr>
            <w:tcW w:type="dxa" w:w="13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PRESERVED</w:t>
            </w:r>
          </w:p>
        </w:tc>
        <w:tc>
          <w:tcPr>
            <w:tcW w:type="dxa" w:w="2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LOST</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943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DESIGN</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DIRECTIVE: All feature additions and API integrations must render inside the existing CSS token system. New API data panels (BOT rates, commodity prices, IMF projections) must use --paper, --surface, IBM Plex Mono for values, and Libre Baskerville for section titles. V3's dark theme is a legitimate alternative build — do NOT merge its CSS into V2.</w:t>
            </w:r>
          </w:p>
        </w:tc>
      </w:tr>
    </w:tbl>
    <w:p>
      <w:pPr>
        <w:spacing w:after="60" w:before="60"/>
      </w:pPr>
      <w:r>
        <w:t xml:space="preserve"/>
      </w:r>
    </w:p>
    <w:p>
      <w:pPr>
        <w:pStyle w:val="Heading2"/>
        <w:spacing w:after="120" w:before="280"/>
      </w:pPr>
      <w:r>
        <w:rPr>
          <w:rFonts w:ascii="Arial" w:cs="Arial" w:eastAsia="Arial" w:hAnsi="Arial"/>
          <w:b/>
          <w:bCs/>
          <w:color w:val="1B3F7A"/>
          <w:sz w:val="26"/>
          <w:szCs w:val="26"/>
        </w:rPr>
        <w:t xml:space="preserve">6.2 New UI Components Required</w:t>
      </w:r>
    </w:p>
    <w:p>
      <w:pPr>
        <w:spacing w:after="100" w:before="80"/>
        <w:jc w:val="both"/>
      </w:pPr>
      <w:r>
        <w:rPr>
          <w:rFonts w:ascii="Arial" w:cs="Arial" w:eastAsia="Arial" w:hAnsi="Arial"/>
          <w:b w:val="false"/>
          <w:bCs w:val="false"/>
          <w:i w:val="false"/>
          <w:iCs w:val="false"/>
          <w:color w:val="0C0F18"/>
          <w:sz w:val="20"/>
          <w:szCs w:val="20"/>
        </w:rPr>
        <w:t xml:space="preserve">The following new UI components should be added to the V2 workspace file to support the proposed API integrations and feature recoveries, all within the newspaper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3600"/>
        <w:gridCol w:w="1860"/>
      </w:tblGrid>
      <w:tr>
        <w:trPr>
          <w:tblHeader/>
        </w:trPr>
        <w:tc>
          <w:tcPr>
            <w:tcW w:type="dxa" w:w="21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6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Design Pattern</w:t>
            </w:r>
          </w:p>
        </w:tc>
        <w:tc>
          <w:tcPr>
            <w:tcW w:type="dxa" w:w="18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Triggers</w:t>
            </w:r>
          </w:p>
        </w:tc>
      </w:tr>
      <w:tr>
        <w:tc>
          <w:tcPr>
            <w:tcW w:type="dxa" w:w="2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Live Macro Ticker</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Ribbon bar (top)</w:t>
            </w:r>
          </w:p>
        </w:tc>
        <w:tc>
          <w:tcPr>
            <w:tcW w:type="dxa" w:w="3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IBM Plex Mono, gold text, scrolling or static pills: "BOT RATE: 2.50% | WTI: $88/bbl | THB/USD: 34.8 | GOLD: 32,400 THB/baht"</w:t>
            </w:r>
          </w:p>
        </w:tc>
        <w:tc>
          <w:tcPr>
            <w:tcW w:type="dxa" w:w="1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Page load, refreshes every 5min</w:t>
            </w:r>
          </w:p>
        </w:tc>
      </w:tr>
      <w:tr>
        <w:tc>
          <w:tcPr>
            <w:tcW w:type="dxa" w:w="2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Enrichment Data Sources Panel</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Bottom of Overview pane</w:t>
            </w:r>
          </w:p>
        </w:tc>
        <w:tc>
          <w:tcPr>
            <w:tcW w:type="dxa" w:w="3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Serif card title, monospace source list with timestamp. Matches existing card style.</w:t>
            </w:r>
          </w:p>
        </w:tc>
        <w:tc>
          <w:tcPr>
            <w:tcW w:type="dxa" w:w="1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After each analysis</w:t>
            </w:r>
          </w:p>
        </w:tc>
      </w:tr>
      <w:tr>
        <w:tc>
          <w:tcPr>
            <w:tcW w:type="dxa" w:w="2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Province Drill-Down Panel</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Right slide-in (380px)</w:t>
            </w:r>
          </w:p>
        </w:tc>
        <w:tc>
          <w:tcPr>
            <w:tcW w:type="dxa" w:w="3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Dark ink background (matches sidebar), serif province name, mono metrics. From V3.</w:t>
            </w:r>
          </w:p>
        </w:tc>
        <w:tc>
          <w:tcPr>
            <w:tcW w:type="dxa" w:w="1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Province click on Regional tab</w:t>
            </w:r>
          </w:p>
        </w:tc>
      </w:tr>
      <w:tr>
        <w:tc>
          <w:tcPr>
            <w:tcW w:type="dxa" w:w="2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Score Ring with Legend</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Banner, top-right</w:t>
            </w:r>
          </w:p>
        </w:tc>
        <w:tc>
          <w:tcPr>
            <w:tcW w:type="dxa" w:w="3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SVG circle, gold/red/green, (?) tooltip popup. From V1.</w:t>
            </w:r>
          </w:p>
        </w:tc>
        <w:tc>
          <w:tcPr>
            <w:tcW w:type="dxa" w:w="1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Every analysis render</w:t>
            </w:r>
          </w:p>
        </w:tc>
      </w:tr>
      <w:tr>
        <w:tc>
          <w:tcPr>
            <w:tcW w:type="dxa" w:w="2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Compare Panel (floating)</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Bottom dock</w:t>
            </w:r>
          </w:p>
        </w:tc>
        <w:tc>
          <w:tcPr>
            <w:tcW w:type="dxa" w:w="3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Dark bar, pill chips, gold RUN button. From V1/V3.</w:t>
            </w:r>
          </w:p>
        </w:tc>
        <w:tc>
          <w:tcPr>
            <w:tcW w:type="dxa" w:w="1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Compare toggle</w:t>
            </w:r>
          </w:p>
        </w:tc>
      </w:tr>
      <w:tr>
        <w:tc>
          <w:tcPr>
            <w:tcW w:type="dxa" w:w="2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Jobs Created/Lost KPIs</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KPI row (col 5-6)</w:t>
            </w:r>
          </w:p>
        </w:tc>
        <w:tc>
          <w:tcPr>
            <w:tcW w:type="dxa" w:w="3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Same mono/bold style as existing KPI cards. Green for created, red for lost.</w:t>
            </w:r>
          </w:p>
        </w:tc>
        <w:tc>
          <w:tcPr>
            <w:tcW w:type="dxa" w:w="1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Every analysis render</w:t>
            </w:r>
          </w:p>
        </w:tc>
      </w:tr>
      <w:tr>
        <w:tc>
          <w:tcPr>
            <w:tcW w:type="dxa" w:w="21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Commodity Price Panel</w:t>
            </w:r>
          </w:p>
        </w:tc>
        <w:tc>
          <w:tcPr>
            <w:tcW w:type="dxa" w:w="1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New tab OR Overview card</w:t>
            </w:r>
          </w:p>
        </w:tc>
        <w:tc>
          <w:tcPr>
            <w:tcW w:type="dxa" w:w="36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Table: commodity, current price, 30d change, impact on professions.</w:t>
            </w:r>
          </w:p>
        </w:tc>
        <w:tc>
          <w:tcPr>
            <w:tcW w:type="dxa" w:w="18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On analysis load</w:t>
            </w:r>
          </w:p>
        </w:tc>
      </w:tr>
      <w:tr>
        <w:tc>
          <w:tcPr>
            <w:tcW w:type="dxa" w:w="21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BOT Rate Card</w:t>
            </w:r>
          </w:p>
        </w:tc>
        <w:tc>
          <w:tcPr>
            <w:tcW w:type="dxa" w:w="1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Overview pane</w:t>
            </w:r>
          </w:p>
        </w:tc>
        <w:tc>
          <w:tcPr>
            <w:tcW w:type="dxa" w:w="36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Single KPI card: "Policy Rate: 2.50% | Last changed: Oct 2024". Mono font.</w:t>
            </w:r>
          </w:p>
        </w:tc>
        <w:tc>
          <w:tcPr>
            <w:tcW w:type="dxa" w:w="18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Page load</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7. Vercel Deployment Audit</w:t>
      </w:r>
    </w:p>
    <w:p>
      <w:pPr>
        <w:pStyle w:val="Heading2"/>
        <w:spacing w:after="120" w:before="280"/>
      </w:pPr>
      <w:r>
        <w:rPr>
          <w:rFonts w:ascii="Arial" w:cs="Arial" w:eastAsia="Arial" w:hAnsi="Arial"/>
          <w:b/>
          <w:bCs/>
          <w:color w:val="1B3F7A"/>
          <w:sz w:val="26"/>
          <w:szCs w:val="26"/>
        </w:rPr>
        <w:t xml:space="preserve">7.1 Production Deployment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Project ID</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prj_VLpR8SIHOSwe5NXuqMjQaTBwwJFc</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Project Name</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thailand-labor-intel</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Production URL</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thailand-labor-intel.vercel.app</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Latest Deployment</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dpl_rURDqEmJbwUopUxekfpeF8FmvDq2 (28 Mar 2026, 10:18 UTC)</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Deployment Count</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20+ deployments in the last 7 days</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Node Version</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24.x</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Runtime</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Edge Runtime (30s max for analyze), Standard (15s for data functions)</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Error Logs (24hr)</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None detected — clean runtime</w:t>
            </w:r>
          </w:p>
        </w:tc>
      </w:tr>
      <w:tr>
        <w:tc>
          <w:tcPr>
            <w:tcW w:type="dxa" w:w="3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Status</w:t>
            </w:r>
          </w:p>
        </w:tc>
        <w:tc>
          <w:tcPr>
            <w:tcW w:type="dxa" w:w="63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READY — serving production traffic</w:t>
            </w:r>
          </w:p>
        </w:tc>
      </w:tr>
      <w:tr>
        <w:tc>
          <w:tcPr>
            <w:tcW w:type="dxa" w:w="3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Other Projects</w:t>
            </w:r>
          </w:p>
        </w:tc>
        <w:tc>
          <w:tcPr>
            <w:tcW w:type="dxa" w:w="63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gui (prj_GXuSkTqBHiaHGz3GMDTSawj7ktN3), autox-competitive-dashboard (prj_hbxq3WJ9eBlpmxyFvfG2uC0cOXh3)</w:t>
            </w:r>
          </w:p>
        </w:tc>
      </w:tr>
    </w:tbl>
    <w:p>
      <w:pPr>
        <w:spacing w:after="60" w:before="60"/>
      </w:pPr>
      <w:r>
        <w:t xml:space="preserve"/>
      </w:r>
    </w:p>
    <w:p>
      <w:pPr>
        <w:pStyle w:val="Heading2"/>
        <w:spacing w:after="120" w:before="280"/>
      </w:pPr>
      <w:r>
        <w:rPr>
          <w:rFonts w:ascii="Arial" w:cs="Arial" w:eastAsia="Arial" w:hAnsi="Arial"/>
          <w:b/>
          <w:bCs/>
          <w:color w:val="1B3F7A"/>
          <w:sz w:val="26"/>
          <w:szCs w:val="26"/>
        </w:rPr>
        <w:t xml:space="preserve">7.2 Vercel.json Gaps</w:t>
      </w:r>
    </w:p>
    <w:p>
      <w:pPr>
        <w:spacing w:after="100" w:before="80"/>
        <w:jc w:val="both"/>
      </w:pPr>
      <w:r>
        <w:rPr>
          <w:rFonts w:ascii="Arial" w:cs="Arial" w:eastAsia="Arial" w:hAnsi="Arial"/>
          <w:b w:val="false"/>
          <w:bCs w:val="false"/>
          <w:i w:val="false"/>
          <w:iCs w:val="false"/>
          <w:color w:val="0C0F18"/>
          <w:sz w:val="20"/>
          <w:szCs w:val="20"/>
        </w:rPr>
        <w:t xml:space="preserve">The current vercel.json registers 7 of 8 API functions. The api/oil-price.js function is present in the codebase but MISSING from the functions configuration. On Vercel Hobby plan, unregistered functions may fail with 404 or timeout without memory/duration overrides.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4C1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FIX</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Add api/oil-price.js to vercel.json functions block: { "api/oil-price.js": { "memory": 256, "maxDuration": 10 } }. Also verify bot.js, imf.js, comtrade.js are added when created.</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8. Upgrade Blueprint — Prioritised Action Plan</w:t>
      </w:r>
    </w:p>
    <w:p>
      <w:pPr>
        <w:pStyle w:val="Heading2"/>
        <w:spacing w:after="120" w:before="280"/>
      </w:pPr>
      <w:r>
        <w:rPr>
          <w:rFonts w:ascii="Arial" w:cs="Arial" w:eastAsia="Arial" w:hAnsi="Arial"/>
          <w:b/>
          <w:bCs/>
          <w:color w:val="1B3F7A"/>
          <w:sz w:val="26"/>
          <w:szCs w:val="26"/>
        </w:rPr>
        <w:t xml:space="preserve">8.1 Sprint 1 — Immediate (This Week)</w:t>
      </w:r>
    </w:p>
    <w:p>
      <w:pPr>
        <w:spacing w:after="100" w:before="80"/>
        <w:jc w:val="both"/>
      </w:pPr>
      <w:r>
        <w:rPr>
          <w:rFonts w:ascii="Arial" w:cs="Arial" w:eastAsia="Arial" w:hAnsi="Arial"/>
          <w:b w:val="false"/>
          <w:bCs w:val="false"/>
          <w:i w:val="false"/>
          <w:iCs w:val="false"/>
          <w:color w:val="0C0F18"/>
          <w:sz w:val="20"/>
          <w:szCs w:val="20"/>
        </w:rPr>
        <w:t xml:space="preserve">These actions resolve critical regressions and security issues before any new feature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800"/>
        <w:gridCol w:w="1960"/>
      </w:tblGrid>
      <w:tr>
        <w:trPr>
          <w:tblHeader/>
        </w:trPr>
        <w:tc>
          <w:tcPr>
            <w:tcW w:type="dxa" w:w="4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8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9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Migrate hardcoded API keys/tokens to Vercel Environment Variables (NSO_TOKEN, GISTDA_KEY)</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api/nso.js, api/gistda.js, api/data-enrichment.js</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CRITICAL</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api/oil-price.js to vercel.json functions block</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vercel.json</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15min</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AbortController and 4-pass JSON parser to public/index.html</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toast notification system (showToast)</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30min</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5</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Restore score ring with legend tooltip from V1</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6</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alert() replacement with proper errorState div</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45min</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7</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4th timeline phase "Long-term (3+ years)"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 + buildPrompt()</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30min</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8</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CORS OPTIONS handlers to all API functions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api/*.js</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r>
    </w:tbl>
    <w:p>
      <w:pPr>
        <w:spacing w:after="60" w:before="60"/>
      </w:pPr>
      <w:r>
        <w:t xml:space="preserve"/>
      </w:r>
    </w:p>
    <w:p>
      <w:pPr>
        <w:pStyle w:val="Heading2"/>
        <w:spacing w:after="120" w:before="280"/>
      </w:pPr>
      <w:r>
        <w:rPr>
          <w:rFonts w:ascii="Arial" w:cs="Arial" w:eastAsia="Arial" w:hAnsi="Arial"/>
          <w:b/>
          <w:bCs/>
          <w:color w:val="1B3F7A"/>
          <w:sz w:val="26"/>
          <w:szCs w:val="26"/>
        </w:rPr>
        <w:t xml:space="preserve">8.2 Sprint 2 — High Value (Next Week)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800"/>
        <w:gridCol w:w="1960"/>
      </w:tblGrid>
      <w:tr>
        <w:trPr>
          <w:tblHeader/>
        </w:trPr>
        <w:tc>
          <w:tcPr>
            <w:tcW w:type="dxa" w:w="4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8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9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Build api/bot.js — BOT policy rate + exchange rates (free, no key)</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api/bot.js + vercel.json</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2h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CRITICAL</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Build api/imf.js — IMF DataMapper WEO indicators for Thailand</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api/imf.js + vercel.json</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Expand api/data-enrichment.js to call BOT + IMF in parallel</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api/data-enrichment.js</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CRITICAL</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Inject enrichment data into buildPrompt() to ground AI outputs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CRITICAL</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5</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Live Macro Ticker to ribbon bar (BOT rate, WTI, THB/USD)</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 (CSS+JS)</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2h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6</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Restore province drill-down panel from V3 app-logic.js</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7</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Implement Compare mode (up to 4 scenarios) from V1/V3</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8</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Add Jobs Lost / Jobs Created to KPI row (from prompt + V1)</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r>
    </w:tbl>
    <w:p>
      <w:pPr>
        <w:spacing w:after="60" w:before="60"/>
      </w:pPr>
      <w:r>
        <w:t xml:space="preserve"/>
      </w:r>
    </w:p>
    <w:p>
      <w:pPr>
        <w:pStyle w:val="Heading2"/>
        <w:spacing w:after="120" w:before="280"/>
      </w:pPr>
      <w:r>
        <w:rPr>
          <w:rFonts w:ascii="Arial" w:cs="Arial" w:eastAsia="Arial" w:hAnsi="Arial"/>
          <w:b/>
          <w:bCs/>
          <w:color w:val="1B3F7A"/>
          <w:sz w:val="26"/>
          <w:szCs w:val="26"/>
        </w:rPr>
        <w:t xml:space="preserve">8.3 Sprint 3 — Strategic (Two Weeks)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800"/>
        <w:gridCol w:w="1960"/>
      </w:tblGrid>
      <w:tr>
        <w:trPr>
          <w:tblHeader/>
        </w:trPr>
        <w:tc>
          <w:tcPr>
            <w:tcW w:type="dxa" w:w="4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8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9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Build api/comtrade.js — UN Comtrade monthly Thai export data by HS code</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api/comtrade.js</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Build api/commodities.js — Alpha Vantage: rubber, palm, gold, THB/USD</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api/commodities.js</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Implement ECharts charts in Professions tab (impact score bar chart)</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Implement ArcGIS choropleth map in Regional tab using thailand.json</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6h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5</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Expand NABC integration — map agriapi.nabc.go.th endpoints to commodity prices</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api/nabc.js + frontend</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3h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6</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Expand SkillMapping integration — show reskilling paths in Professions tab</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2h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r>
      <w:tr>
        <w:tc>
          <w:tcPr>
            <w:tcW w:type="dxa" w:w="4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7</w:t>
            </w:r>
          </w:p>
        </w:tc>
        <w:tc>
          <w:tcPr>
            <w:tcW w:type="dxa" w:w="3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BOT NPL data to province drill-down decisioning layer</w:t>
            </w:r>
          </w:p>
        </w:tc>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api/bot.js + province panel</w:t>
            </w:r>
          </w:p>
        </w:tc>
        <w:tc>
          <w:tcPr>
            <w:tcW w:type="dxa" w:w="8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4h</w:t>
            </w:r>
          </w:p>
        </w:tc>
        <w:tc>
          <w:tcPr>
            <w:tcW w:type="dxa" w:w="19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r>
      <w:tr>
        <w:tc>
          <w:tcPr>
            <w:tcW w:type="dxa" w:w="4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8</w:t>
            </w:r>
          </w:p>
        </w:tc>
        <w:tc>
          <w:tcPr>
            <w:tcW w:type="dxa" w:w="3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Build Decisioning Score: income shock × credit risk × branch proximity formula</w:t>
            </w:r>
          </w:p>
        </w:tc>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public/index.html (JS)</w:t>
            </w:r>
          </w:p>
        </w:tc>
        <w:tc>
          <w:tcPr>
            <w:tcW w:type="dxa" w:w="8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4h</w:t>
            </w:r>
          </w:p>
        </w:tc>
        <w:tc>
          <w:tcPr>
            <w:tcW w:type="dxa" w:w="19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CRITICAL</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9. Decisioning Engine Architecture</w:t>
      </w:r>
    </w:p>
    <w:p>
      <w:pPr>
        <w:pStyle w:val="Heading2"/>
        <w:spacing w:after="120" w:before="280"/>
      </w:pPr>
      <w:r>
        <w:rPr>
          <w:rFonts w:ascii="Arial" w:cs="Arial" w:eastAsia="Arial" w:hAnsi="Arial"/>
          <w:b/>
          <w:bCs/>
          <w:color w:val="1B3F7A"/>
          <w:sz w:val="26"/>
          <w:szCs w:val="26"/>
        </w:rPr>
        <w:t xml:space="preserve">9.1 NC Product Deployment Score</w:t>
      </w:r>
    </w:p>
    <w:p>
      <w:pPr>
        <w:spacing w:after="100" w:before="80"/>
        <w:jc w:val="both"/>
      </w:pPr>
      <w:r>
        <w:rPr>
          <w:rFonts w:ascii="Arial" w:cs="Arial" w:eastAsia="Arial" w:hAnsi="Arial"/>
          <w:b w:val="false"/>
          <w:bCs w:val="false"/>
          <w:i w:val="false"/>
          <w:iCs w:val="false"/>
          <w:color w:val="0C0F18"/>
          <w:sz w:val="20"/>
          <w:szCs w:val="20"/>
        </w:rPr>
        <w:t xml:space="preserve">The following formula transforms TMLI from a descriptive intelligence tool into an active decisioning engine. It produces a ranked list of Ngern Chaiyo product-province-segment combinations for each macro event.</w:t>
      </w:r>
    </w:p>
    <w:p>
      <w:pPr>
        <w:spacing w:after="60" w:before="60"/>
      </w:pPr>
      <w:r>
        <w:t xml:space="preserve"/>
      </w:r>
    </w:p>
    <w:p>
      <w:pPr>
        <w:pStyle w:val="Heading3"/>
        <w:spacing w:after="80" w:before="200"/>
      </w:pPr>
      <w:r>
        <w:rPr>
          <w:rFonts w:ascii="Arial" w:cs="Arial" w:eastAsia="Arial" w:hAnsi="Arial"/>
          <w:b/>
          <w:bCs/>
          <w:color w:val="B8943A"/>
          <w:sz w:val="22"/>
          <w:szCs w:val="22"/>
        </w:rPr>
        <w:t xml:space="preserve">Deployment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900"/>
        <w:gridCol w:w="4260"/>
      </w:tblGrid>
      <w:tr>
        <w:trPr>
          <w:tblHeader/>
        </w:trPr>
        <w:tc>
          <w:tcPr>
            <w:tcW w:type="dxa" w:w="2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9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2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Income Shock (IS)</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Gemini AI analysis (impactScore per profession)</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40%</w:t>
            </w:r>
          </w:p>
        </w:tc>
        <w:tc>
          <w:tcPr>
            <w:tcW w:type="dxa" w:w="42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How severe is the income loss for this profession in this event? Range: 0-100.</w:t>
            </w:r>
          </w:p>
        </w:tc>
      </w:tr>
      <w:tr>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Credit Risk (CR)</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BOT NPL ratio for province/sector (proposed)</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30%</w:t>
            </w:r>
          </w:p>
        </w:tc>
        <w:tc>
          <w:tcPr>
            <w:tcW w:type="dxa" w:w="42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What is the baseline credit risk in this province? High NPL = reduce loan size, tighten criteria.</w:t>
            </w:r>
          </w:p>
        </w:tc>
      </w:tr>
      <w:tr>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Branch Proximity (BP)</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AUTOX_BRANCHES count for province</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20%</w:t>
            </w:r>
          </w:p>
        </w:tc>
        <w:tc>
          <w:tcPr>
            <w:tcW w:type="dxa" w:w="42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How many Ngern Chaiyo branches are in this province? More branches = higher deployment capacity.</w:t>
            </w:r>
          </w:p>
        </w:tc>
      </w:tr>
      <w:tr>
        <w:tc>
          <w:tcPr>
            <w:tcW w:type="dxa" w:w="2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Commodity Signal (CS)</w:t>
            </w:r>
          </w:p>
        </w:tc>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NABC/Alpha Vantage live prices</w:t>
            </w:r>
          </w:p>
        </w:tc>
        <w:tc>
          <w:tcPr>
            <w:tcW w:type="dxa" w:w="9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10%</w:t>
            </w:r>
          </w:p>
        </w:tc>
        <w:tc>
          <w:tcPr>
            <w:tcW w:type="dxa" w:w="42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Is the commodity price trend making this worse or better? E.g. rubber price up = positive for tappers.</w:t>
            </w:r>
          </w:p>
        </w:tc>
      </w:tr>
      <w:tr>
        <w:tc>
          <w:tcPr>
            <w:tcW w:type="dxa" w:w="2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Deployment Score</w:t>
            </w:r>
          </w:p>
        </w:tc>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IS×0.4 + (100-CR)×0.3 + BP_norm×0.2 + CS×0.1</w:t>
            </w:r>
          </w:p>
        </w:tc>
        <w:tc>
          <w:tcPr>
            <w:tcW w:type="dxa" w:w="9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100%</w:t>
            </w:r>
          </w:p>
        </w:tc>
        <w:tc>
          <w:tcPr>
            <w:tcW w:type="dxa" w:w="42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Ranges 0-100. Above 70: PRIORITY DEPLOY. 50-70: MONITOR. Below 50: HOLD.</w:t>
            </w:r>
          </w:p>
        </w:tc>
      </w:tr>
    </w:tbl>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6B3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ENGINE</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The Decisioning Score should appear as a new "NC Deployment Priority" column in the AutoX Strategy tab, ranking each of the 8 NC products by province with a PRIORITY/MONITOR/HOLD badge. This is the core fintech intelligence value-add that no other tool in the AutoX stack currently provides.</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10. Technical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00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5160"/>
            <w:tcBorders>
              <w:top w:val="single" w:color="CFC3AA" w:sz="1"/>
              <w:left w:val="single" w:color="CFC3AA" w:sz="1"/>
              <w:bottom w:val="single" w:color="CFC3AA" w:sz="1"/>
              <w:right w:val="single" w:color="CFC3AA" w:sz="1"/>
            </w:tcBorders>
            <w:shd w:fill="1A1F2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Gemini API outage / quota exceeded</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51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Add Claude Sonnet as fallback in api/analyze.js (already in V1). Implement retry with backoff. Add ANTHROPIC_API_KEY env var.</w:t>
            </w:r>
          </w:p>
        </w:tc>
      </w:tr>
      <w:tr>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Hardcoded API credentials exposed</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CRITICAL</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HIGH</w:t>
            </w:r>
          </w:p>
        </w:tc>
        <w:tc>
          <w:tcPr>
            <w:tcW w:type="dxa" w:w="51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Immediate: migrate to Vercel env vars. Medium-term: rotate all keys. See Sprint 1 Item 1.</w:t>
            </w:r>
          </w:p>
        </w:tc>
      </w:tr>
      <w:tr>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ArcGIS SDK licence for choropleth</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51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ArcGIS JS free tier limits commercial use. Evaluate Mapbox GL JS (free tier 50K loads/mo) or Leaflet.js + GeoJSON as alternatives.</w:t>
            </w:r>
          </w:p>
        </w:tc>
      </w:tr>
      <w:tr>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GISTDA API endpoint version drift</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51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GISTDA v2.2 endpoints are referenced. Add version pin and a fallback to Open-Meteo NDVI proxy.</w:t>
            </w:r>
          </w:p>
        </w:tc>
      </w:tr>
      <w:tr>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BOT Open API data lag (monthly)</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LOW</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c>
          <w:tcPr>
            <w:tcW w:type="dxa" w:w="51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BOT publishes data monthly. Cache responses for 24h. Show data timestamp. Use IMF DataMapper for forward projections.</w:t>
            </w:r>
          </w:p>
        </w:tc>
      </w:tr>
      <w:tr>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NSO JWT token expiry (2031)</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LOW</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LOW</w:t>
            </w:r>
          </w:p>
        </w:tc>
        <w:tc>
          <w:tcPr>
            <w:tcW w:type="dxa" w:w="51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Token expires 1988150399 (Unix). Monitor. Store in env var with rotation script.</w:t>
            </w:r>
          </w:p>
        </w:tc>
      </w:tr>
      <w:tr>
        <w:tc>
          <w:tcPr>
            <w:tcW w:type="dxa" w:w="22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Single-file V2 maintainability</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100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HIGH</w:t>
            </w:r>
          </w:p>
        </w:tc>
        <w:tc>
          <w:tcPr>
            <w:tcW w:type="dxa" w:w="5160"/>
            <w:tcBorders>
              <w:top w:val="single" w:color="CFC3AA" w:sz="1"/>
              <w:left w:val="single" w:color="CFC3AA" w:sz="1"/>
              <w:bottom w:val="single" w:color="CFC3AA" w:sz="1"/>
              <w:right w:val="single" w:color="CFC3AA" w:sz="1"/>
            </w:tcBorders>
            <w:shd w:fill="FDFAF4" w:val="clear"/>
            <w:tcMar>
              <w:top w:type="dxa" w:w="80"/>
              <w:left w:type="dxa" w:w="120"/>
              <w:bottom w:type="dxa" w:w="80"/>
              <w:right w:type="dxa" w:w="120"/>
            </w:tcMar>
          </w:tcPr>
          <w:p>
            <w:r>
              <w:rPr>
                <w:rFonts w:ascii="Arial" w:cs="Arial" w:eastAsia="Arial" w:hAnsi="Arial"/>
                <w:color w:val="0C0F18"/>
                <w:sz w:val="18"/>
                <w:szCs w:val="18"/>
              </w:rPr>
              <w:t xml:space="preserve">827 lines is manageable. If features exceed 1,500 lines, adopt V3's modular JS architecture.</w:t>
            </w:r>
          </w:p>
        </w:tc>
      </w:tr>
      <w:tr>
        <w:tc>
          <w:tcPr>
            <w:tcW w:type="dxa" w:w="22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Province drill-down AI cost</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100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MEDIUM</w:t>
            </w:r>
          </w:p>
        </w:tc>
        <w:tc>
          <w:tcPr>
            <w:tcW w:type="dxa" w:w="5160"/>
            <w:tcBorders>
              <w:top w:val="single" w:color="CFC3AA" w:sz="1"/>
              <w:left w:val="single" w:color="CFC3AA" w:sz="1"/>
              <w:bottom w:val="single" w:color="CFC3AA" w:sz="1"/>
              <w:right w:val="single" w:color="CFC3AA" w:sz="1"/>
            </w:tcBorders>
            <w:shd w:fill="F5F0E8" w:val="clear"/>
            <w:tcMar>
              <w:top w:type="dxa" w:w="80"/>
              <w:left w:type="dxa" w:w="120"/>
              <w:bottom w:type="dxa" w:w="80"/>
              <w:right w:type="dxa" w:w="120"/>
            </w:tcMar>
          </w:tcPr>
          <w:p>
            <w:r>
              <w:rPr>
                <w:rFonts w:ascii="Arial" w:cs="Arial" w:eastAsia="Arial" w:hAnsi="Arial"/>
                <w:color w:val="0C0F18"/>
                <w:sz w:val="18"/>
                <w:szCs w:val="18"/>
              </w:rPr>
              <w:t xml:space="preserve">Each province click triggers an AI call. Cache province results in sessionStorage keyed by eventTag+provinceName.</w:t>
            </w:r>
          </w:p>
        </w:tc>
      </w:tr>
    </w:tbl>
    <w:p>
      <w:r>
        <w:br w:type="page"/>
      </w:r>
    </w:p>
    <w:p>
      <w:pPr>
        <w:pStyle w:val="Heading1"/>
        <w:pBdr>
          <w:bottom w:val="single" w:color="B8943A" w:sz="8" w:space="6"/>
        </w:pBdr>
        <w:spacing w:after="180" w:before="360"/>
      </w:pPr>
      <w:r>
        <w:rPr>
          <w:rFonts w:ascii="Arial" w:cs="Arial" w:eastAsia="Arial" w:hAnsi="Arial"/>
          <w:b/>
          <w:bCs/>
          <w:color w:val="0C0F18"/>
          <w:sz w:val="36"/>
          <w:szCs w:val="36"/>
        </w:rPr>
        <w:t xml:space="preserve">11. Conclusions &amp; CTO Directive</w:t>
      </w:r>
    </w:p>
    <w:p>
      <w:pPr>
        <w:pStyle w:val="Heading2"/>
        <w:spacing w:after="120" w:before="280"/>
      </w:pPr>
      <w:r>
        <w:rPr>
          <w:rFonts w:ascii="Arial" w:cs="Arial" w:eastAsia="Arial" w:hAnsi="Arial"/>
          <w:b/>
          <w:bCs/>
          <w:color w:val="1B3F7A"/>
          <w:sz w:val="26"/>
          <w:szCs w:val="26"/>
        </w:rPr>
        <w:t xml:space="preserve">11.1 Summary</w:t>
      </w:r>
    </w:p>
    <w:p>
      <w:pPr>
        <w:spacing w:after="100" w:before="80"/>
        <w:jc w:val="both"/>
      </w:pPr>
      <w:r>
        <w:rPr>
          <w:rFonts w:ascii="Arial" w:cs="Arial" w:eastAsia="Arial" w:hAnsi="Arial"/>
          <w:b w:val="false"/>
          <w:bCs w:val="false"/>
          <w:i w:val="false"/>
          <w:iCs w:val="false"/>
          <w:color w:val="0C0F18"/>
          <w:sz w:val="20"/>
          <w:szCs w:val="20"/>
        </w:rPr>
        <w:t xml:space="preserve">TMLI is a strategically differentiated platform with a clear product-market fit for AutoX / Ngern Chaiyo's fintech operations. The live V3 production build proves that the architecture scales to 11 modules and multi-agent AI analysis. The primary gap is not in the concept or the deployed version but in the workspace source file (V2), which has regressed from both V1 and V3 and needs urgent restoration.</w:t>
      </w:r>
    </w:p>
    <w:p>
      <w:pPr>
        <w:spacing w:after="60" w:before="60"/>
      </w:pPr>
      <w:r>
        <w:t xml:space="preserve"/>
      </w:r>
    </w:p>
    <w:p>
      <w:pPr>
        <w:spacing w:after="100" w:before="80"/>
        <w:jc w:val="both"/>
      </w:pPr>
      <w:r>
        <w:rPr>
          <w:rFonts w:ascii="Arial" w:cs="Arial" w:eastAsia="Arial" w:hAnsi="Arial"/>
          <w:b w:val="false"/>
          <w:bCs w:val="false"/>
          <w:i w:val="false"/>
          <w:iCs w:val="false"/>
          <w:color w:val="0C0F18"/>
          <w:sz w:val="20"/>
          <w:szCs w:val="20"/>
        </w:rPr>
        <w:t xml:space="preserve">The proposed API additions — particularly the Bank of Thailand, IMF DataMapper, and Alpha Vantage commodity feeds — will transform the platform from a descriptive intelligence tool into an active decisioning engine. The NC Product Deployment Score formula provides the quantitative foundation for this transformation.</w:t>
      </w:r>
    </w:p>
    <w:p>
      <w:pPr>
        <w:spacing w:after="60" w:before="60"/>
      </w:pPr>
      <w:r>
        <w:t xml:space="preserve"/>
      </w:r>
    </w:p>
    <w:p>
      <w:pPr>
        <w:pStyle w:val="Heading2"/>
        <w:spacing w:after="120" w:before="280"/>
      </w:pPr>
      <w:r>
        <w:rPr>
          <w:rFonts w:ascii="Arial" w:cs="Arial" w:eastAsia="Arial" w:hAnsi="Arial"/>
          <w:b/>
          <w:bCs/>
          <w:color w:val="1B3F7A"/>
          <w:sz w:val="26"/>
          <w:szCs w:val="26"/>
        </w:rPr>
        <w:t xml:space="preserve">11.2 CTO Directives (Ordered by Priority)</w:t>
      </w:r>
    </w:p>
    <w:p>
      <w:pPr>
        <w:pStyle w:val="ListParagraph"/>
        <w:numPr>
          <w:ilvl w:val="0"/>
          <w:numId w:val="3"/>
        </w:numPr>
        <w:spacing w:after="60" w:before="60"/>
      </w:pPr>
      <w:r>
        <w:rPr>
          <w:rFonts w:ascii="Arial" w:cs="Arial" w:eastAsia="Arial" w:hAnsi="Arial"/>
          <w:color w:val="0C0F18"/>
          <w:sz w:val="20"/>
          <w:szCs w:val="20"/>
        </w:rPr>
        <w:t xml:space="preserve">SECURITY FIRST: Migrate all hardcoded API keys to Vercel environment variables before any new deployment. This is non-negotiable.</w:t>
      </w:r>
    </w:p>
    <w:p>
      <w:pPr>
        <w:pStyle w:val="ListParagraph"/>
        <w:numPr>
          <w:ilvl w:val="0"/>
          <w:numId w:val="3"/>
        </w:numPr>
        <w:spacing w:after="60" w:before="60"/>
      </w:pPr>
      <w:r>
        <w:rPr>
          <w:rFonts w:ascii="Arial" w:cs="Arial" w:eastAsia="Arial" w:hAnsi="Arial"/>
          <w:color w:val="0C0F18"/>
          <w:sz w:val="20"/>
          <w:szCs w:val="20"/>
        </w:rPr>
        <w:t xml:space="preserve">SYNC WORKSPACE: Align public/index.html (V2) with V3 production feature set, restoring the 14 regressed features while keeping the newspaper UXUI.</w:t>
      </w:r>
    </w:p>
    <w:p>
      <w:pPr>
        <w:pStyle w:val="ListParagraph"/>
        <w:numPr>
          <w:ilvl w:val="0"/>
          <w:numId w:val="3"/>
        </w:numPr>
        <w:spacing w:after="60" w:before="60"/>
      </w:pPr>
      <w:r>
        <w:rPr>
          <w:rFonts w:ascii="Arial" w:cs="Arial" w:eastAsia="Arial" w:hAnsi="Arial"/>
          <w:color w:val="0C0F18"/>
          <w:sz w:val="20"/>
          <w:szCs w:val="20"/>
        </w:rPr>
        <w:t xml:space="preserve">BOT API FIRST: Build api/bot.js and integrate BOT interest rates and exchange rates into the data enrichment layer. This is the single highest-ROI API addition.</w:t>
      </w:r>
    </w:p>
    <w:p>
      <w:pPr>
        <w:pStyle w:val="ListParagraph"/>
        <w:numPr>
          <w:ilvl w:val="0"/>
          <w:numId w:val="3"/>
        </w:numPr>
        <w:spacing w:after="60" w:before="60"/>
      </w:pPr>
      <w:r>
        <w:rPr>
          <w:rFonts w:ascii="Arial" w:cs="Arial" w:eastAsia="Arial" w:hAnsi="Arial"/>
          <w:color w:val="0C0F18"/>
          <w:sz w:val="20"/>
          <w:szCs w:val="20"/>
        </w:rPr>
        <w:t xml:space="preserve">GROUND THE AI: Inject all live institutional data (BOT, IMF, World Bank, ILO, GISTDA) into every AI prompt. No analysis should cite figures that contradict live data.</w:t>
      </w:r>
    </w:p>
    <w:p>
      <w:pPr>
        <w:pStyle w:val="ListParagraph"/>
        <w:numPr>
          <w:ilvl w:val="0"/>
          <w:numId w:val="3"/>
        </w:numPr>
        <w:spacing w:after="60" w:before="60"/>
      </w:pPr>
      <w:r>
        <w:rPr>
          <w:rFonts w:ascii="Arial" w:cs="Arial" w:eastAsia="Arial" w:hAnsi="Arial"/>
          <w:color w:val="0C0F18"/>
          <w:sz w:val="20"/>
          <w:szCs w:val="20"/>
        </w:rPr>
        <w:t xml:space="preserve">BUILD THE DECISIONING SCORE: Implement the NC Product Deployment Score formula in the AutoX Strategy tab. This creates the core fintech differentiation.</w:t>
      </w:r>
    </w:p>
    <w:p>
      <w:pPr>
        <w:pStyle w:val="ListParagraph"/>
        <w:numPr>
          <w:ilvl w:val="0"/>
          <w:numId w:val="3"/>
        </w:numPr>
        <w:spacing w:after="60" w:before="60"/>
      </w:pPr>
      <w:r>
        <w:rPr>
          <w:rFonts w:ascii="Arial" w:cs="Arial" w:eastAsia="Arial" w:hAnsi="Arial"/>
          <w:color w:val="0C0F18"/>
          <w:sz w:val="20"/>
          <w:szCs w:val="20"/>
        </w:rPr>
        <w:t xml:space="preserve">IMPLEMENT THE MAP: Commit to the ArcGIS choropleth or switch to Mapbox GL JS. The Regional tab placeholder is the most visible gap to any executive demo.</w:t>
      </w:r>
    </w:p>
    <w:p>
      <w:pPr>
        <w:pStyle w:val="ListParagraph"/>
        <w:numPr>
          <w:ilvl w:val="0"/>
          <w:numId w:val="3"/>
        </w:numPr>
        <w:spacing w:after="60" w:before="60"/>
      </w:pPr>
      <w:r>
        <w:rPr>
          <w:rFonts w:ascii="Arial" w:cs="Arial" w:eastAsia="Arial" w:hAnsi="Arial"/>
          <w:color w:val="0C0F18"/>
          <w:sz w:val="20"/>
          <w:szCs w:val="20"/>
        </w:rPr>
        <w:t xml:space="preserve">PRESERVE THE UXUI: All new components must use the paper/ink/gold/serif/mono design system. The newspaper aesthetic is the brand identity. Do not merge V3's dark theme into V2.</w:t>
      </w:r>
    </w:p>
    <w:p>
      <w:pPr>
        <w:spacing w:after="60" w:before="60"/>
      </w:pPr>
      <w:r>
        <w:t xml:space="preserve"/>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6B3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VERDICT</w:t>
            </w:r>
          </w:p>
        </w:tc>
        <w:tc>
          <w:tcPr>
            <w:tcW w:type="dxa" w:w="8960"/>
            <w:tcBorders>
              <w:top w:val="single" w:color="CFC3AA" w:sz="1"/>
              <w:left w:val="none" w:color="FFFFFF" w:sz="0"/>
              <w:bottom w:val="single" w:color="CFC3AA" w:sz="1"/>
              <w:right w:val="single" w:color="CFC3AA" w:sz="1"/>
            </w:tcBorders>
            <w:shd w:fill="F8F6F0" w:val="clear"/>
            <w:tcMar>
              <w:top w:type="dxa" w:w="80"/>
              <w:left w:type="dxa" w:w="180"/>
              <w:bottom w:type="dxa" w:w="80"/>
              <w:right w:type="dxa" w:w="120"/>
            </w:tcMar>
          </w:tcPr>
          <w:p>
            <w:r>
              <w:rPr>
                <w:rFonts w:ascii="Arial" w:cs="Arial" w:eastAsia="Arial" w:hAnsi="Arial"/>
                <w:color w:val="0C0F18"/>
                <w:sz w:val="19"/>
                <w:szCs w:val="19"/>
              </w:rPr>
              <w:t xml:space="preserve">TMLI is production-ready for its AI intelligence function. The path to becoming a genuine decisioning engine runs through 3 weeks of focused API integration and feature restoration. Total estimated engineering effort: 60-80 hours. Expected strategic impact: material improvement in NC product deployment accuracy and field team confidence.</w:t>
            </w:r>
          </w:p>
        </w:tc>
      </w:tr>
    </w:tbl>
    <w:p>
      <w:pPr>
        <w:spacing w:after="60" w:before="60"/>
      </w:pPr>
      <w:r>
        <w:t xml:space="preserve"/>
      </w:r>
    </w:p>
    <w:p>
      <w:pPr>
        <w:spacing w:after="60" w:before="60"/>
      </w:pPr>
      <w:r>
        <w:t xml:space="preserve"/>
      </w:r>
    </w:p>
    <w:p>
      <w:pPr>
        <w:pBdr>
          <w:top w:val="single" w:color="B8943A" w:sz="4" w:space="6"/>
        </w:pBdr>
        <w:spacing w:after="80" w:before="200"/>
        <w:jc w:val="right"/>
      </w:pPr>
      <w:r>
        <w:rPr>
          <w:rFonts w:ascii="Arial" w:cs="Arial" w:eastAsia="Arial" w:hAnsi="Arial"/>
          <w:i/>
          <w:iCs/>
          <w:color w:val="7A7060"/>
          <w:sz w:val="18"/>
          <w:szCs w:val="18"/>
        </w:rPr>
        <w:t xml:space="preserve">Office of the CTO — AutoX Co., Ltd.</w:t>
      </w:r>
    </w:p>
    <w:p>
      <w:pPr>
        <w:spacing w:after="40" w:before="40"/>
        <w:jc w:val="right"/>
      </w:pPr>
      <w:r>
        <w:rPr>
          <w:rFonts w:ascii="Arial" w:cs="Arial" w:eastAsia="Arial" w:hAnsi="Arial"/>
          <w:color w:val="7A7060"/>
          <w:sz w:val="18"/>
          <w:szCs w:val="18"/>
        </w:rPr>
        <w:t xml:space="preserve">28 March 2026 — Bangkok, Thailand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3AA" w:sz="4" w:space="4"/>
      </w:pBdr>
      <w:tabs>
        <w:tab w:val="right" w:pos="9360"/>
      </w:tabs>
    </w:pPr>
    <w:r>
      <w:rPr>
        <w:rFonts w:ascii="Arial" w:cs="Arial" w:eastAsia="Arial" w:hAnsi="Arial"/>
        <w:color w:val="7A7060"/>
        <w:sz w:val="16"/>
        <w:szCs w:val="16"/>
      </w:rPr>
      <w:t xml:space="preserve">AutoX Co., Ltd. — Internal Strategy Document</w:t>
    </w:r>
    <w:r>
      <w:rPr>
        <w:rFonts w:ascii="Arial" w:cs="Arial" w:eastAsia="Arial" w:hAnsi="Arial"/>
        <w:color w:val="7A7060"/>
        <w:sz w:val="16"/>
        <w:szCs w:val="16"/>
      </w:rPr>
      <w:t xml:space="preserve">		Page </w:t>
    </w:r>
    <w:r>
      <w:rPr>
        <w:rFonts w:ascii="Arial" w:cs="Arial" w:eastAsia="Arial" w:hAnsi="Arial"/>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3A" w:sz="4" w:space="4"/>
      </w:pBdr>
      <w:tabs>
        <w:tab w:val="right" w:pos="9360"/>
      </w:tabs>
    </w:pPr>
    <w:r>
      <w:rPr>
        <w:rFonts w:ascii="Arial" w:cs="Arial" w:eastAsia="Arial" w:hAnsi="Arial"/>
        <w:color w:val="7A7060"/>
        <w:sz w:val="16"/>
        <w:szCs w:val="16"/>
      </w:rPr>
      <w:t xml:space="preserve">TMLI — CTO AUDIT REPORT — 28 MARCH 2026</w:t>
    </w:r>
    <w:r>
      <w:rPr>
        <w:rFonts w:ascii="Arial" w:cs="Arial" w:eastAsia="Arial" w:hAnsi="Arial"/>
        <w:b/>
        <w:bCs/>
        <w:color w:val="8B1D2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0F1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F7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94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TMLI CTO Deep Audit Report — Version Comparison, Gap Analysis &amp; API Upgrade Blueprint</dc:title>
  <dc:creator>TMLI CTO Audit Engine</dc:creator>
  <dc:description>Comprehensive CTO audit of the Thailand Macro-Labor Intelligence platform across all versions</dc:description>
  <cp:lastModifiedBy>Un-named</cp:lastModifiedBy>
  <cp:revision>1</cp:revision>
  <dcterms:created xsi:type="dcterms:W3CDTF">2026-03-28T10:30:24.382Z</dcterms:created>
  <dcterms:modified xsi:type="dcterms:W3CDTF">2026-03-28T10:30:24.383Z</dcterms:modified>
</cp:coreProperties>
</file>

<file path=docProps/custom.xml><?xml version="1.0" encoding="utf-8"?>
<Properties xmlns="http://schemas.openxmlformats.org/officeDocument/2006/custom-properties" xmlns:vt="http://schemas.openxmlformats.org/officeDocument/2006/docPropsVTypes"/>
</file>