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B8943A"/>
          <w:spacing w:val="80"/>
          <w:sz w:val="22"/>
          <w:szCs w:val="22"/>
        </w:rPr>
        <w:t xml:space="preserve">APPLICATION ASSESSMENT REPORT</w:t>
      </w:r>
    </w:p>
    <w:p>
      <w:pPr>
        <w:spacing w:after="60"/>
      </w:pPr>
      <w:r>
        <w:rPr>
          <w:rFonts w:ascii="Arial" w:cs="Arial" w:eastAsia="Arial" w:hAnsi="Arial"/>
          <w:b/>
          <w:bCs/>
          <w:color w:val="0C0F18"/>
          <w:sz w:val="48"/>
          <w:szCs w:val="48"/>
        </w:rPr>
        <w:t xml:space="preserve">Thailand Macro·Labor Intelligence</w:t>
      </w:r>
    </w:p>
    <w:p>
      <w:pPr>
        <w:spacing w:after="500"/>
      </w:pPr>
      <w:r>
        <w:rPr>
          <w:rFonts w:ascii="Arial" w:cs="Arial" w:eastAsia="Arial" w:hAnsi="Arial"/>
          <w:i/>
          <w:iCs/>
          <w:color w:val="7A7060"/>
          <w:sz w:val="28"/>
          <w:szCs w:val="28"/>
        </w:rPr>
        <w:t xml:space="preserve">Value Assessment, Technical Review &amp; Recommendations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200"/>
        <w:gridCol w:w="7520"/>
      </w:tblGrid>
      <w:tr>
        <w:tc>
          <w:tcPr>
            <w:tcW w:type="dxa" w:w="2200"/>
            <w:tcBorders>
              <w:top w:val="single" w:color="E5DDD0" w:sz="1"/>
              <w:left w:val="single" w:color="E5DDD0" w:sz="1"/>
              <w:bottom w:val="single" w:color="E5DDD0" w:sz="1"/>
              <w:right w:val="single" w:color="E5DDD0" w:sz="1"/>
            </w:tcBorders>
            <w:shd w:fill="F0E8D8" w:val="clear"/>
            <w:tcMar>
              <w:top w:type="dxa" w:w="80"/>
              <w:left w:type="dxa" w:w="120"/>
              <w:bottom w:type="dxa" w:w="80"/>
              <w:right w:type="dxa" w:w="100"/>
            </w:tcMar>
          </w:tcPr>
          <w:p>
            <w:r>
              <w:rPr>
                <w:rFonts w:ascii="Arial" w:cs="Arial" w:eastAsia="Arial" w:hAnsi="Arial"/>
                <w:b/>
                <w:bCs/>
                <w:color w:val="7A7060"/>
                <w:sz w:val="20"/>
                <w:szCs w:val="20"/>
              </w:rPr>
              <w:t xml:space="preserve">Application</w:t>
            </w:r>
          </w:p>
        </w:tc>
        <w:tc>
          <w:tcPr>
            <w:tcW w:type="dxa" w:w="7520"/>
            <w:tcBorders>
              <w:top w:val="single" w:color="E5DDD0" w:sz="1"/>
              <w:left w:val="single" w:color="E5DDD0" w:sz="1"/>
              <w:bottom w:val="single" w:color="E5DDD0" w:sz="1"/>
              <w:right w:val="single" w:color="E5DDD0" w:sz="1"/>
            </w:tcBorders>
            <w:shd w:fill="FBF7F0" w:val="clear"/>
            <w:tcMar>
              <w:top w:type="dxa" w:w="80"/>
              <w:left w:type="dxa" w:w="120"/>
              <w:bottom w:type="dxa" w:w="80"/>
              <w:right w:type="dxa" w:w="120"/>
            </w:tcMar>
          </w:tcPr>
          <w:p>
            <w:r>
              <w:rPr>
                <w:rFonts w:ascii="Arial" w:cs="Arial" w:eastAsia="Arial" w:hAnsi="Arial"/>
                <w:color w:val="0C0F18"/>
                <w:sz w:val="20"/>
                <w:szCs w:val="20"/>
              </w:rPr>
              <w:t xml:space="preserve">Thailand Macro·Labor Intelligence</w:t>
            </w:r>
          </w:p>
        </w:tc>
      </w:tr>
      <w:tr>
        <w:tc>
          <w:tcPr>
            <w:tcW w:type="dxa" w:w="2200"/>
            <w:tcBorders>
              <w:top w:val="single" w:color="E5DDD0" w:sz="1"/>
              <w:left w:val="single" w:color="E5DDD0" w:sz="1"/>
              <w:bottom w:val="single" w:color="E5DDD0" w:sz="1"/>
              <w:right w:val="single" w:color="E5DDD0" w:sz="1"/>
            </w:tcBorders>
            <w:shd w:fill="F0E8D8" w:val="clear"/>
            <w:tcMar>
              <w:top w:type="dxa" w:w="80"/>
              <w:left w:type="dxa" w:w="120"/>
              <w:bottom w:type="dxa" w:w="80"/>
              <w:right w:type="dxa" w:w="100"/>
            </w:tcMar>
          </w:tcPr>
          <w:p>
            <w:r>
              <w:rPr>
                <w:rFonts w:ascii="Arial" w:cs="Arial" w:eastAsia="Arial" w:hAnsi="Arial"/>
                <w:b/>
                <w:bCs/>
                <w:color w:val="7A7060"/>
                <w:sz w:val="20"/>
                <w:szCs w:val="20"/>
              </w:rPr>
              <w:t xml:space="preserve">Format</w:t>
            </w:r>
          </w:p>
        </w:tc>
        <w:tc>
          <w:tcPr>
            <w:tcW w:type="dxa" w:w="7520"/>
            <w:tcBorders>
              <w:top w:val="single" w:color="E5DDD0" w:sz="1"/>
              <w:left w:val="single" w:color="E5DDD0" w:sz="1"/>
              <w:bottom w:val="single" w:color="E5DDD0" w:sz="1"/>
              <w:right w:val="single" w:color="E5DDD0" w:sz="1"/>
            </w:tcBorders>
            <w:shd w:fill="FBF7F0" w:val="clear"/>
            <w:tcMar>
              <w:top w:type="dxa" w:w="80"/>
              <w:left w:type="dxa" w:w="120"/>
              <w:bottom w:type="dxa" w:w="80"/>
              <w:right w:type="dxa" w:w="120"/>
            </w:tcMar>
          </w:tcPr>
          <w:p>
            <w:r>
              <w:rPr>
                <w:rFonts w:ascii="Arial" w:cs="Arial" w:eastAsia="Arial" w:hAnsi="Arial"/>
                <w:color w:val="0C0F18"/>
                <w:sz w:val="20"/>
                <w:szCs w:val="20"/>
              </w:rPr>
              <w:t xml:space="preserve">Single-file HTML (142,786 bytes) — CSS + JS + Data + UI</w:t>
            </w:r>
          </w:p>
        </w:tc>
      </w:tr>
      <w:tr>
        <w:tc>
          <w:tcPr>
            <w:tcW w:type="dxa" w:w="2200"/>
            <w:tcBorders>
              <w:top w:val="single" w:color="E5DDD0" w:sz="1"/>
              <w:left w:val="single" w:color="E5DDD0" w:sz="1"/>
              <w:bottom w:val="single" w:color="E5DDD0" w:sz="1"/>
              <w:right w:val="single" w:color="E5DDD0" w:sz="1"/>
            </w:tcBorders>
            <w:shd w:fill="F0E8D8" w:val="clear"/>
            <w:tcMar>
              <w:top w:type="dxa" w:w="80"/>
              <w:left w:type="dxa" w:w="120"/>
              <w:bottom w:type="dxa" w:w="80"/>
              <w:right w:type="dxa" w:w="100"/>
            </w:tcMar>
          </w:tcPr>
          <w:p>
            <w:r>
              <w:rPr>
                <w:rFonts w:ascii="Arial" w:cs="Arial" w:eastAsia="Arial" w:hAnsi="Arial"/>
                <w:b/>
                <w:bCs/>
                <w:color w:val="7A7060"/>
                <w:sz w:val="20"/>
                <w:szCs w:val="20"/>
              </w:rPr>
              <w:t xml:space="preserve">Version Reviewed</w:t>
            </w:r>
          </w:p>
        </w:tc>
        <w:tc>
          <w:tcPr>
            <w:tcW w:type="dxa" w:w="7520"/>
            <w:tcBorders>
              <w:top w:val="single" w:color="E5DDD0" w:sz="1"/>
              <w:left w:val="single" w:color="E5DDD0" w:sz="1"/>
              <w:bottom w:val="single" w:color="E5DDD0" w:sz="1"/>
              <w:right w:val="single" w:color="E5DDD0" w:sz="1"/>
            </w:tcBorders>
            <w:shd w:fill="FBF7F0" w:val="clear"/>
            <w:tcMar>
              <w:top w:type="dxa" w:w="80"/>
              <w:left w:type="dxa" w:w="120"/>
              <w:bottom w:type="dxa" w:w="80"/>
              <w:right w:type="dxa" w:w="120"/>
            </w:tcMar>
          </w:tcPr>
          <w:p>
            <w:r>
              <w:rPr>
                <w:rFonts w:ascii="Arial" w:cs="Arial" w:eastAsia="Arial" w:hAnsi="Arial"/>
                <w:color w:val="0C0F18"/>
                <w:sz w:val="20"/>
                <w:szCs w:val="20"/>
              </w:rPr>
              <w:t xml:space="preserve">Production v2 with Mock Mode (March 2026)</w:t>
            </w:r>
          </w:p>
        </w:tc>
      </w:tr>
      <w:tr>
        <w:tc>
          <w:tcPr>
            <w:tcW w:type="dxa" w:w="2200"/>
            <w:tcBorders>
              <w:top w:val="single" w:color="E5DDD0" w:sz="1"/>
              <w:left w:val="single" w:color="E5DDD0" w:sz="1"/>
              <w:bottom w:val="single" w:color="E5DDD0" w:sz="1"/>
              <w:right w:val="single" w:color="E5DDD0" w:sz="1"/>
            </w:tcBorders>
            <w:shd w:fill="F0E8D8" w:val="clear"/>
            <w:tcMar>
              <w:top w:type="dxa" w:w="80"/>
              <w:left w:type="dxa" w:w="120"/>
              <w:bottom w:type="dxa" w:w="80"/>
              <w:right w:type="dxa" w:w="100"/>
            </w:tcMar>
          </w:tcPr>
          <w:p>
            <w:r>
              <w:rPr>
                <w:rFonts w:ascii="Arial" w:cs="Arial" w:eastAsia="Arial" w:hAnsi="Arial"/>
                <w:b/>
                <w:bCs/>
                <w:color w:val="7A7060"/>
                <w:sz w:val="20"/>
                <w:szCs w:val="20"/>
              </w:rPr>
              <w:t xml:space="preserve">AI Engine</w:t>
            </w:r>
          </w:p>
        </w:tc>
        <w:tc>
          <w:tcPr>
            <w:tcW w:type="dxa" w:w="7520"/>
            <w:tcBorders>
              <w:top w:val="single" w:color="E5DDD0" w:sz="1"/>
              <w:left w:val="single" w:color="E5DDD0" w:sz="1"/>
              <w:bottom w:val="single" w:color="E5DDD0" w:sz="1"/>
              <w:right w:val="single" w:color="E5DDD0" w:sz="1"/>
            </w:tcBorders>
            <w:shd w:fill="FBF7F0" w:val="clear"/>
            <w:tcMar>
              <w:top w:type="dxa" w:w="80"/>
              <w:left w:type="dxa" w:w="120"/>
              <w:bottom w:type="dxa" w:w="80"/>
              <w:right w:type="dxa" w:w="120"/>
            </w:tcMar>
          </w:tcPr>
          <w:p>
            <w:r>
              <w:rPr>
                <w:rFonts w:ascii="Arial" w:cs="Arial" w:eastAsia="Arial" w:hAnsi="Arial"/>
                <w:color w:val="0C0F18"/>
                <w:sz w:val="20"/>
                <w:szCs w:val="20"/>
              </w:rPr>
              <w:t xml:space="preserve">claude-sonnet-4-20250514 via Anthropic API</w:t>
            </w:r>
          </w:p>
        </w:tc>
      </w:tr>
      <w:tr>
        <w:tc>
          <w:tcPr>
            <w:tcW w:type="dxa" w:w="2200"/>
            <w:tcBorders>
              <w:top w:val="single" w:color="E5DDD0" w:sz="1"/>
              <w:left w:val="single" w:color="E5DDD0" w:sz="1"/>
              <w:bottom w:val="single" w:color="E5DDD0" w:sz="1"/>
              <w:right w:val="single" w:color="E5DDD0" w:sz="1"/>
            </w:tcBorders>
            <w:shd w:fill="F0E8D8" w:val="clear"/>
            <w:tcMar>
              <w:top w:type="dxa" w:w="80"/>
              <w:left w:type="dxa" w:w="120"/>
              <w:bottom w:type="dxa" w:w="80"/>
              <w:right w:type="dxa" w:w="100"/>
            </w:tcMar>
          </w:tcPr>
          <w:p>
            <w:r>
              <w:rPr>
                <w:rFonts w:ascii="Arial" w:cs="Arial" w:eastAsia="Arial" w:hAnsi="Arial"/>
                <w:b/>
                <w:bCs/>
                <w:color w:val="7A7060"/>
                <w:sz w:val="20"/>
                <w:szCs w:val="20"/>
              </w:rPr>
              <w:t xml:space="preserve">Total Events</w:t>
            </w:r>
          </w:p>
        </w:tc>
        <w:tc>
          <w:tcPr>
            <w:tcW w:type="dxa" w:w="7520"/>
            <w:tcBorders>
              <w:top w:val="single" w:color="E5DDD0" w:sz="1"/>
              <w:left w:val="single" w:color="E5DDD0" w:sz="1"/>
              <w:bottom w:val="single" w:color="E5DDD0" w:sz="1"/>
              <w:right w:val="single" w:color="E5DDD0" w:sz="1"/>
            </w:tcBorders>
            <w:shd w:fill="FBF7F0" w:val="clear"/>
            <w:tcMar>
              <w:top w:type="dxa" w:w="80"/>
              <w:left w:type="dxa" w:w="120"/>
              <w:bottom w:type="dxa" w:w="80"/>
              <w:right w:type="dxa" w:w="120"/>
            </w:tcMar>
          </w:tcPr>
          <w:p>
            <w:r>
              <w:rPr>
                <w:rFonts w:ascii="Arial" w:cs="Arial" w:eastAsia="Arial" w:hAnsi="Arial"/>
                <w:color w:val="0C0F18"/>
                <w:sz w:val="20"/>
                <w:szCs w:val="20"/>
              </w:rPr>
              <w:t xml:space="preserve">18 pre-loaded real-world events + custom input</w:t>
            </w:r>
          </w:p>
        </w:tc>
      </w:tr>
      <w:tr>
        <w:tc>
          <w:tcPr>
            <w:tcW w:type="dxa" w:w="2200"/>
            <w:tcBorders>
              <w:top w:val="single" w:color="E5DDD0" w:sz="1"/>
              <w:left w:val="single" w:color="E5DDD0" w:sz="1"/>
              <w:bottom w:val="single" w:color="E5DDD0" w:sz="1"/>
              <w:right w:val="single" w:color="E5DDD0" w:sz="1"/>
            </w:tcBorders>
            <w:shd w:fill="F0E8D8" w:val="clear"/>
            <w:tcMar>
              <w:top w:type="dxa" w:w="80"/>
              <w:left w:type="dxa" w:w="120"/>
              <w:bottom w:type="dxa" w:w="80"/>
              <w:right w:type="dxa" w:w="100"/>
            </w:tcMar>
          </w:tcPr>
          <w:p>
            <w:r>
              <w:rPr>
                <w:rFonts w:ascii="Arial" w:cs="Arial" w:eastAsia="Arial" w:hAnsi="Arial"/>
                <w:b/>
                <w:bCs/>
                <w:color w:val="7A7060"/>
                <w:sz w:val="20"/>
                <w:szCs w:val="20"/>
              </w:rPr>
              <w:t xml:space="preserve">Analysis Depth</w:t>
            </w:r>
          </w:p>
        </w:tc>
        <w:tc>
          <w:tcPr>
            <w:tcW w:type="dxa" w:w="7520"/>
            <w:tcBorders>
              <w:top w:val="single" w:color="E5DDD0" w:sz="1"/>
              <w:left w:val="single" w:color="E5DDD0" w:sz="1"/>
              <w:bottom w:val="single" w:color="E5DDD0" w:sz="1"/>
              <w:right w:val="single" w:color="E5DDD0" w:sz="1"/>
            </w:tcBorders>
            <w:shd w:fill="FBF7F0" w:val="clear"/>
            <w:tcMar>
              <w:top w:type="dxa" w:w="80"/>
              <w:left w:type="dxa" w:w="120"/>
              <w:bottom w:type="dxa" w:w="80"/>
              <w:right w:type="dxa" w:w="120"/>
            </w:tcMar>
          </w:tcPr>
          <w:p>
            <w:r>
              <w:rPr>
                <w:rFonts w:ascii="Arial" w:cs="Arial" w:eastAsia="Arial" w:hAnsi="Arial"/>
                <w:color w:val="0C0F18"/>
                <w:sz w:val="20"/>
                <w:szCs w:val="20"/>
              </w:rPr>
              <w:t xml:space="preserve">18 professions + 10 industries + 4-phase timeline per event</w:t>
            </w:r>
          </w:p>
        </w:tc>
      </w:tr>
      <w:tr>
        <w:tc>
          <w:tcPr>
            <w:tcW w:type="dxa" w:w="2200"/>
            <w:tcBorders>
              <w:top w:val="single" w:color="E5DDD0" w:sz="1"/>
              <w:left w:val="single" w:color="E5DDD0" w:sz="1"/>
              <w:bottom w:val="single" w:color="E5DDD0" w:sz="1"/>
              <w:right w:val="single" w:color="E5DDD0" w:sz="1"/>
            </w:tcBorders>
            <w:shd w:fill="F0E8D8" w:val="clear"/>
            <w:tcMar>
              <w:top w:type="dxa" w:w="80"/>
              <w:left w:type="dxa" w:w="120"/>
              <w:bottom w:type="dxa" w:w="80"/>
              <w:right w:type="dxa" w:w="100"/>
            </w:tcMar>
          </w:tcPr>
          <w:p>
            <w:r>
              <w:rPr>
                <w:rFonts w:ascii="Arial" w:cs="Arial" w:eastAsia="Arial" w:hAnsi="Arial"/>
                <w:b/>
                <w:bCs/>
                <w:color w:val="7A7060"/>
                <w:sz w:val="20"/>
                <w:szCs w:val="20"/>
              </w:rPr>
              <w:t xml:space="preserve">Reviewer</w:t>
            </w:r>
          </w:p>
        </w:tc>
        <w:tc>
          <w:tcPr>
            <w:tcW w:type="dxa" w:w="7520"/>
            <w:tcBorders>
              <w:top w:val="single" w:color="E5DDD0" w:sz="1"/>
              <w:left w:val="single" w:color="E5DDD0" w:sz="1"/>
              <w:bottom w:val="single" w:color="E5DDD0" w:sz="1"/>
              <w:right w:val="single" w:color="E5DDD0" w:sz="1"/>
            </w:tcBorders>
            <w:shd w:fill="FBF7F0" w:val="clear"/>
            <w:tcMar>
              <w:top w:type="dxa" w:w="80"/>
              <w:left w:type="dxa" w:w="120"/>
              <w:bottom w:type="dxa" w:w="80"/>
              <w:right w:type="dxa" w:w="120"/>
            </w:tcMar>
          </w:tcPr>
          <w:p>
            <w:r>
              <w:rPr>
                <w:rFonts w:ascii="Arial" w:cs="Arial" w:eastAsia="Arial" w:hAnsi="Arial"/>
                <w:color w:val="0C0F18"/>
                <w:sz w:val="20"/>
                <w:szCs w:val="20"/>
              </w:rPr>
              <w:t xml:space="preserve">Systematic code + content + UX assessment</w:t>
            </w:r>
          </w:p>
        </w:tc>
      </w:tr>
      <w:tr>
        <w:tc>
          <w:tcPr>
            <w:tcW w:type="dxa" w:w="2200"/>
            <w:tcBorders>
              <w:top w:val="single" w:color="E5DDD0" w:sz="1"/>
              <w:left w:val="single" w:color="E5DDD0" w:sz="1"/>
              <w:bottom w:val="single" w:color="E5DDD0" w:sz="1"/>
              <w:right w:val="single" w:color="E5DDD0" w:sz="1"/>
            </w:tcBorders>
            <w:shd w:fill="F0E8D8" w:val="clear"/>
            <w:tcMar>
              <w:top w:type="dxa" w:w="80"/>
              <w:left w:type="dxa" w:w="120"/>
              <w:bottom w:type="dxa" w:w="80"/>
              <w:right w:type="dxa" w:w="100"/>
            </w:tcMar>
          </w:tcPr>
          <w:p>
            <w:r>
              <w:rPr>
                <w:rFonts w:ascii="Arial" w:cs="Arial" w:eastAsia="Arial" w:hAnsi="Arial"/>
                <w:b/>
                <w:bCs/>
                <w:color w:val="7A7060"/>
                <w:sz w:val="20"/>
                <w:szCs w:val="20"/>
              </w:rPr>
              <w:t xml:space="preserve">Date</w:t>
            </w:r>
          </w:p>
        </w:tc>
        <w:tc>
          <w:tcPr>
            <w:tcW w:type="dxa" w:w="7520"/>
            <w:tcBorders>
              <w:top w:val="single" w:color="E5DDD0" w:sz="1"/>
              <w:left w:val="single" w:color="E5DDD0" w:sz="1"/>
              <w:bottom w:val="single" w:color="E5DDD0" w:sz="1"/>
              <w:right w:val="single" w:color="E5DDD0" w:sz="1"/>
            </w:tcBorders>
            <w:shd w:fill="FBF7F0" w:val="clear"/>
            <w:tcMar>
              <w:top w:type="dxa" w:w="80"/>
              <w:left w:type="dxa" w:w="120"/>
              <w:bottom w:type="dxa" w:w="80"/>
              <w:right w:type="dxa" w:w="120"/>
            </w:tcMar>
          </w:tcPr>
          <w:p>
            <w:r>
              <w:rPr>
                <w:rFonts w:ascii="Arial" w:cs="Arial" w:eastAsia="Arial" w:hAnsi="Arial"/>
                <w:color w:val="0C0F18"/>
                <w:sz w:val="20"/>
                <w:szCs w:val="20"/>
              </w:rPr>
              <w:t xml:space="preserve">March 2026</w:t>
            </w:r>
          </w:p>
        </w:tc>
      </w:tr>
    </w:tbl>
    <w:p>
      <w:pPr>
        <w:pBdr>
          <w:bottom w:val="single" w:color="B8943A" w:sz="4" w:space="1"/>
        </w:pBdr>
        <w:spacing w:before="160" w:after="160"/>
      </w:pPr>
    </w:p>
    <w:p>
      <w:pPr>
        <w:pStyle w:val="Heading1"/>
        <w:spacing w:before="300" w:after="120"/>
      </w:pPr>
      <w:r>
        <w:rPr>
          <w:rFonts w:ascii="Arial" w:cs="Arial" w:eastAsia="Arial" w:hAnsi="Arial"/>
          <w:b/>
          <w:bCs/>
          <w:color w:val="0C0F18"/>
          <w:sz w:val="36"/>
          <w:szCs w:val="36"/>
        </w:rPr>
        <w:t xml:space="preserve">Executive Summary</w:t>
      </w:r>
    </w:p>
    <w:p>
      <w:pPr>
        <w:pStyle w:val="Normal"/>
        <w:spacing w:after="140"/>
      </w:pPr>
      <w:r>
        <w:rPr>
          <w:rFonts w:ascii="Arial" w:cs="Arial" w:eastAsia="Arial" w:hAnsi="Arial"/>
          <w:b w:val="false"/>
          <w:bCs w:val="false"/>
          <w:i w:val="false"/>
          <w:iCs w:val="false"/>
          <w:color w:val="0C0F18"/>
          <w:sz w:val="22"/>
          <w:szCs w:val="22"/>
        </w:rPr>
        <w:t xml:space="preserve">Thailand Macro·Labor Intelligence is a </w:t>
      </w:r>
      <w:r>
        <w:rPr>
          <w:rFonts w:ascii="Arial" w:cs="Arial" w:eastAsia="Arial" w:hAnsi="Arial"/>
          <w:b/>
          <w:bCs/>
          <w:i w:val="false"/>
          <w:iCs w:val="false"/>
          <w:color w:val="0C0F18"/>
          <w:sz w:val="22"/>
          <w:szCs w:val="22"/>
        </w:rPr>
        <w:t xml:space="preserve">genuinely differentiated, research-grade intelligence tool</w:t>
      </w:r>
      <w:r>
        <w:rPr>
          <w:rFonts w:ascii="Arial" w:cs="Arial" w:eastAsia="Arial" w:hAnsi="Arial"/>
          <w:b w:val="false"/>
          <w:bCs w:val="false"/>
          <w:i w:val="false"/>
          <w:iCs w:val="false"/>
          <w:color w:val="0C0F18"/>
          <w:sz w:val="22"/>
          <w:szCs w:val="22"/>
        </w:rPr>
        <w:t xml:space="preserve"> that addresses a gap in the market: no freely available tool maps real-time global macro events to their specific, quantified impact on Thai professions and industries with this level of granularity. The application combines a well-curated editorial layer (18 real 2025–2026 events with expert context) with AI-generated analysis that is notably more specific and structured than generic LLM outputs.</w:t>
      </w:r>
    </w:p>
    <w:p>
      <w:pPr>
        <w:pStyle w:val="Normal"/>
        <w:spacing w:after="140"/>
      </w:pPr>
      <w:r>
        <w:rPr>
          <w:rFonts w:ascii="Arial" w:cs="Arial" w:eastAsia="Arial" w:hAnsi="Arial"/>
          <w:b w:val="false"/>
          <w:bCs w:val="false"/>
          <w:i w:val="false"/>
          <w:iCs w:val="false"/>
          <w:color w:val="0C0F18"/>
          <w:sz w:val="22"/>
          <w:szCs w:val="22"/>
        </w:rPr>
        <w:t xml:space="preserve">Its primary value lies in the </w:t>
      </w:r>
      <w:r>
        <w:rPr>
          <w:rFonts w:ascii="Arial" w:cs="Arial" w:eastAsia="Arial" w:hAnsi="Arial"/>
          <w:b/>
          <w:bCs/>
          <w:i w:val="false"/>
          <w:iCs w:val="false"/>
          <w:color w:val="0C0F18"/>
          <w:sz w:val="22"/>
          <w:szCs w:val="22"/>
        </w:rPr>
        <w:t xml:space="preserve">forced specificity of the prompt architecture</w:t>
      </w:r>
      <w:r>
        <w:rPr>
          <w:rFonts w:ascii="Arial" w:cs="Arial" w:eastAsia="Arial" w:hAnsi="Arial"/>
          <w:b w:val="false"/>
          <w:bCs w:val="false"/>
          <w:i w:val="false"/>
          <w:iCs w:val="false"/>
          <w:color w:val="0C0F18"/>
          <w:sz w:val="22"/>
          <w:szCs w:val="22"/>
        </w:rPr>
        <w:t xml:space="preserve"> — outputs name actual Thai companies (Toyota Samrong, Western Digital Ayutthaya), specific institutions (BAAC, EGAT, BOI), precise worker counts, and baht-denominated wage impacts. This is qualitatively different from asking a general-purpose chatbot about Thailand's economy.</w:t>
      </w:r>
    </w:p>
    <w:p>
      <w:pPr>
        <w:pStyle w:val="Normal"/>
        <w:spacing w:after="140"/>
      </w:pPr>
      <w:r>
        <w:rPr>
          <w:rFonts w:ascii="Arial" w:cs="Arial" w:eastAsia="Arial" w:hAnsi="Arial"/>
          <w:b w:val="false"/>
          <w:bCs w:val="false"/>
          <w:i w:val="false"/>
          <w:iCs w:val="false"/>
          <w:color w:val="0C0F18"/>
          <w:sz w:val="22"/>
          <w:szCs w:val="22"/>
        </w:rPr>
        <w:t xml:space="preserve">The tool sits at the intersection of </w:t>
      </w:r>
      <w:r>
        <w:rPr>
          <w:rFonts w:ascii="Arial" w:cs="Arial" w:eastAsia="Arial" w:hAnsi="Arial"/>
          <w:b/>
          <w:bCs/>
          <w:i w:val="false"/>
          <w:iCs w:val="false"/>
          <w:color w:val="0C0F18"/>
          <w:sz w:val="22"/>
          <w:szCs w:val="22"/>
        </w:rPr>
        <w:t xml:space="preserve">labour economics, geopolitical risk intelligence, and AI-assisted policy analysis</w:t>
      </w:r>
      <w:r>
        <w:rPr>
          <w:rFonts w:ascii="Arial" w:cs="Arial" w:eastAsia="Arial" w:hAnsi="Arial"/>
          <w:b w:val="false"/>
          <w:bCs w:val="false"/>
          <w:i w:val="false"/>
          <w:iCs w:val="false"/>
          <w:color w:val="0C0F18"/>
          <w:sz w:val="22"/>
          <w:szCs w:val="22"/>
        </w:rPr>
        <w:t xml:space="preserve">. At this intersection there is a clear professional audience: researchers at multilateral organisations (ILO, World Bank, ADB), analysts at Thailand-focused investment firms, HR policy teams at multinationals with Thai operations, and Thai government policy units.</w:t>
      </w:r>
    </w:p>
    <w:p>
      <w:pPr>
        <w:pStyle w:val="Normal"/>
        <w:spacing w:after="140"/>
      </w:pPr>
      <w:r>
        <w:rPr>
          <w:rFonts w:ascii="Arial" w:cs="Arial" w:eastAsia="Arial" w:hAnsi="Arial"/>
          <w:b w:val="false"/>
          <w:bCs w:val="false"/>
          <w:i w:val="false"/>
          <w:iCs w:val="false"/>
          <w:color w:val="0C0F18"/>
          <w:sz w:val="22"/>
          <w:szCs w:val="22"/>
        </w:rPr>
        <w:t xml:space="preserve">However, the tool has material weaknesses that limit its transition from MVP to production platform: mock data icons regressed to plain text strings rather than emojis, output lacks source citations that would allow users to verify claims, the comparison feature is partially implemented, and the application has no data persistence across sessions. These are fixable issues, not fundamental flaws.</w:t>
      </w:r>
    </w:p>
    <w:p>
      <w:pPr>
        <w:pStyle w:val="Normal"/>
        <w:spacing w:after="140"/>
      </w:pPr>
      <w:r>
        <w:rPr>
          <w:rFonts w:ascii="Arial" w:cs="Arial" w:eastAsia="Arial" w:hAnsi="Arial"/>
          <w:b w:val="false"/>
          <w:bCs w:val="false"/>
          <w:i w:val="false"/>
          <w:iCs w:val="false"/>
          <w:color w:val="0C0F18"/>
          <w:sz w:val="22"/>
          <w:szCs w:val="22"/>
        </w:rPr>
        <w:t xml:space="preserve">Overall assessment: </w:t>
      </w:r>
      <w:r>
        <w:rPr>
          <w:rFonts w:ascii="Arial" w:cs="Arial" w:eastAsia="Arial" w:hAnsi="Arial"/>
          <w:b/>
          <w:bCs/>
          <w:i w:val="false"/>
          <w:iCs w:val="false"/>
          <w:color w:val="1A6B3C"/>
          <w:sz w:val="22"/>
          <w:szCs w:val="22"/>
        </w:rPr>
        <w:t xml:space="preserve">HIGH VALUE proof-of-concept with strong commercial potential</w:t>
      </w:r>
      <w:r>
        <w:rPr>
          <w:rFonts w:ascii="Arial" w:cs="Arial" w:eastAsia="Arial" w:hAnsi="Arial"/>
          <w:b w:val="false"/>
          <w:bCs w:val="false"/>
          <w:i w:val="false"/>
          <w:iCs w:val="false"/>
          <w:color w:val="0C0F18"/>
          <w:sz w:val="22"/>
          <w:szCs w:val="22"/>
        </w:rPr>
        <w:t xml:space="preserve">. With targeted improvements to citation infrastructure, data persistence, and the comparison feature, this tool would be deployable as a professional research platform.</w:t>
      </w:r>
    </w:p>
    <w:p>
      <w:pPr>
        <w:pBdr>
          <w:bottom w:val="single" w:color="CCCCCC" w:sz="4" w:space="1"/>
        </w:pBdr>
        <w:spacing w:before="160" w:after="160"/>
      </w:pPr>
    </w:p>
    <w:p>
      <w:pPr>
        <w:pStyle w:val="Heading1"/>
        <w:spacing w:before="300" w:after="120"/>
      </w:pPr>
      <w:r>
        <w:rPr>
          <w:rFonts w:ascii="Arial" w:cs="Arial" w:eastAsia="Arial" w:hAnsi="Arial"/>
          <w:b/>
          <w:bCs/>
          <w:color w:val="0C0F18"/>
          <w:sz w:val="36"/>
          <w:szCs w:val="36"/>
        </w:rPr>
        <w:t xml:space="preserve">Assessment Scorecard</w:t>
      </w:r>
    </w:p>
    <w:p>
      <w:pPr>
        <w:pStyle w:val="Normal"/>
        <w:spacing w:after="140"/>
      </w:pPr>
      <w:r>
        <w:rPr>
          <w:rFonts w:ascii="Arial" w:cs="Arial" w:eastAsia="Arial" w:hAnsi="Arial"/>
          <w:color w:val="0C0F18"/>
          <w:sz w:val="22"/>
          <w:szCs w:val="22"/>
        </w:rPr>
        <w:t xml:space="preserve">Scores rated 1–10 across eight evaluation dimensions. Methodology: each dimension assessed against the tool's stated purpose (Thai labour market intelligence for professional users), not against general software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700"/>
        <w:gridCol w:w="4060"/>
      </w:tblGrid>
      <w:tr>
        <w:trPr>
          <w:tblHeader/>
        </w:trPr>
        <w:tc>
          <w:tcPr>
            <w:tcW w:type="dxa" w:w="2400"/>
            <w:tcBorders>
              <w:top w:val="single" w:color="0C0F18" w:sz="1"/>
              <w:left w:val="single" w:color="0C0F18" w:sz="1"/>
              <w:bottom w:val="single" w:color="0C0F18" w:sz="1"/>
              <w:right w:val="single" w:color="0C0F18" w:sz="1"/>
            </w:tcBorders>
            <w:shd w:fill="0C0F18" w:val="clear"/>
            <w:tcMar>
              <w:top w:type="dxa" w:w="80"/>
              <w:left w:type="dxa" w:w="100"/>
              <w:bottom w:type="dxa" w:w="80"/>
              <w:right w:type="dxa" w:w="100"/>
            </w:tcMar>
          </w:tcPr>
          <w:p>
            <w:r>
              <w:rPr>
                <w:rFonts w:ascii="Arial" w:cs="Arial" w:eastAsia="Arial" w:hAnsi="Arial"/>
                <w:b/>
                <w:bCs/>
                <w:color w:val="FFFFFF"/>
                <w:sz w:val="20"/>
                <w:szCs w:val="20"/>
              </w:rPr>
              <w:t xml:space="preserve">Dimension</w:t>
            </w:r>
          </w:p>
        </w:tc>
        <w:tc>
          <w:tcPr>
            <w:tcW w:type="dxa" w:w="2200"/>
            <w:tcBorders>
              <w:top w:val="single" w:color="0C0F18" w:sz="1"/>
              <w:left w:val="single" w:color="0C0F18" w:sz="1"/>
              <w:bottom w:val="single" w:color="0C0F18" w:sz="1"/>
              <w:right w:val="single" w:color="0C0F18" w:sz="1"/>
            </w:tcBorders>
            <w:shd w:fill="0C0F18" w:val="clear"/>
            <w:tcMar>
              <w:top w:type="dxa" w:w="80"/>
              <w:left w:type="dxa" w:w="100"/>
              <w:bottom w:type="dxa" w:w="80"/>
              <w:right w:type="dxa" w:w="100"/>
            </w:tcMar>
          </w:tcPr>
          <w:p>
            <w:r>
              <w:rPr>
                <w:rFonts w:ascii="Arial" w:cs="Arial" w:eastAsia="Arial" w:hAnsi="Arial"/>
                <w:b/>
                <w:bCs/>
                <w:color w:val="FFFFFF"/>
                <w:sz w:val="20"/>
                <w:szCs w:val="20"/>
              </w:rPr>
              <w:t xml:space="preserve">Score</w:t>
            </w:r>
          </w:p>
        </w:tc>
        <w:tc>
          <w:tcPr>
            <w:tcW w:type="dxa" w:w="700"/>
            <w:tcBorders>
              <w:top w:val="single" w:color="0C0F18" w:sz="1"/>
              <w:left w:val="single" w:color="0C0F18" w:sz="1"/>
              <w:bottom w:val="single" w:color="0C0F18" w:sz="1"/>
              <w:right w:val="single" w:color="0C0F18" w:sz="1"/>
            </w:tcBorders>
            <w:shd w:fill="0C0F18" w:val="clear"/>
            <w:tcMar>
              <w:top w:type="dxa" w:w="80"/>
              <w:left w:type="dxa" w:w="100"/>
              <w:bottom w:type="dxa" w:w="80"/>
              <w:right w:type="dxa" w:w="100"/>
            </w:tcMar>
          </w:tcPr>
          <w:p>
            <w:r>
              <w:rPr>
                <w:rFonts w:ascii="Arial" w:cs="Arial" w:eastAsia="Arial" w:hAnsi="Arial"/>
                <w:b/>
                <w:bCs/>
                <w:color w:val="FFFFFF"/>
                <w:sz w:val="20"/>
                <w:szCs w:val="20"/>
              </w:rPr>
              <w:t xml:space="preserve">Pts</w:t>
            </w:r>
          </w:p>
        </w:tc>
        <w:tc>
          <w:tcPr>
            <w:tcW w:type="dxa" w:w="4060"/>
            <w:tcBorders>
              <w:top w:val="single" w:color="0C0F18" w:sz="1"/>
              <w:left w:val="single" w:color="0C0F18" w:sz="1"/>
              <w:bottom w:val="single" w:color="0C0F18" w:sz="1"/>
              <w:right w:val="single" w:color="0C0F18" w:sz="1"/>
            </w:tcBorders>
            <w:shd w:fill="0C0F18" w:val="clear"/>
            <w:tcMar>
              <w:top w:type="dxa" w:w="80"/>
              <w:left w:type="dxa" w:w="120"/>
              <w:bottom w:type="dxa" w:w="80"/>
              <w:right w:type="dxa" w:w="100"/>
            </w:tcMar>
          </w:tcPr>
          <w:p>
            <w:r>
              <w:rPr>
                <w:rFonts w:ascii="Arial" w:cs="Arial" w:eastAsia="Arial" w:hAnsi="Arial"/>
                <w:b/>
                <w:bCs/>
                <w:color w:val="FFFFFF"/>
                <w:sz w:val="20"/>
                <w:szCs w:val="20"/>
              </w:rPr>
              <w:t xml:space="preserve">Key Finding</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0C0F18"/>
                <w:sz w:val="20"/>
                <w:szCs w:val="20"/>
              </w:rPr>
              <w:t xml:space="preserve">Value Proposition</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ourier New" w:cs="Courier New" w:eastAsia="Courier New" w:hAnsi="Courier New"/>
                <w:color w:val="1A6B3C"/>
                <w:sz w:val="16"/>
                <w:szCs w:val="16"/>
              </w:rPr>
              <w:t xml:space="preserve">█░░░░░░░░░</w:t>
            </w:r>
          </w:p>
        </w:tc>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Arial" w:cs="Arial" w:eastAsia="Arial" w:hAnsi="Arial"/>
                <w:b/>
                <w:bCs/>
                <w:color w:val="1A6B3C"/>
                <w:sz w:val="20"/>
                <w:szCs w:val="20"/>
              </w:rPr>
              <w:t xml:space="preserve">9/10</w:t>
            </w:r>
          </w:p>
        </w:tc>
        <w:tc>
          <w:tcPr>
            <w:tcW w:type="dxa" w:w="4060"/>
            <w:tcBorders>
              <w:top w:val="none" w:color="FFFFFF" w:sz="0"/>
              <w:left w:val="none" w:color="FFFFFF" w:sz="0"/>
              <w:bottom w:val="none" w:color="FFFFFF" w:sz="0"/>
              <w:right w:val="none" w:color="FFFFFF" w:sz="0"/>
            </w:tcBorders>
            <w:tcMar>
              <w:top w:type="dxa" w:w="60"/>
              <w:left w:type="dxa" w:w="120"/>
              <w:bottom w:type="dxa" w:w="60"/>
              <w:right w:type="dxa" w:w="100"/>
            </w:tcMar>
          </w:tcPr>
          <w:p>
            <w:r>
              <w:rPr>
                <w:rFonts w:ascii="Arial" w:cs="Arial" w:eastAsia="Arial" w:hAnsi="Arial"/>
                <w:i/>
                <w:iCs/>
                <w:color w:val="7A7060"/>
                <w:sz w:val="19"/>
                <w:szCs w:val="19"/>
              </w:rPr>
              <w:t xml:space="preserve">Fills a genuine gap; no comparable free tool exists for Thai labour intelligence</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0C0F18"/>
                <w:sz w:val="20"/>
                <w:szCs w:val="20"/>
              </w:rPr>
              <w:t xml:space="preserve">Data Quality</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ourier New" w:cs="Courier New" w:eastAsia="Courier New" w:hAnsi="Courier New"/>
                <w:color w:val="1A6B3C"/>
                <w:sz w:val="16"/>
                <w:szCs w:val="16"/>
              </w:rPr>
              <w:t xml:space="preserve">█░░░░░░░░░</w:t>
            </w:r>
          </w:p>
        </w:tc>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Arial" w:cs="Arial" w:eastAsia="Arial" w:hAnsi="Arial"/>
                <w:b/>
                <w:bCs/>
                <w:color w:val="1A6B3C"/>
                <w:sz w:val="20"/>
                <w:szCs w:val="20"/>
              </w:rPr>
              <w:t xml:space="preserve">8/10</w:t>
            </w:r>
          </w:p>
        </w:tc>
        <w:tc>
          <w:tcPr>
            <w:tcW w:type="dxa" w:w="4060"/>
            <w:tcBorders>
              <w:top w:val="none" w:color="FFFFFF" w:sz="0"/>
              <w:left w:val="none" w:color="FFFFFF" w:sz="0"/>
              <w:bottom w:val="none" w:color="FFFFFF" w:sz="0"/>
              <w:right w:val="none" w:color="FFFFFF" w:sz="0"/>
            </w:tcBorders>
            <w:tcMar>
              <w:top w:type="dxa" w:w="60"/>
              <w:left w:type="dxa" w:w="120"/>
              <w:bottom w:type="dxa" w:w="60"/>
              <w:right w:type="dxa" w:w="100"/>
            </w:tcMar>
          </w:tcPr>
          <w:p>
            <w:r>
              <w:rPr>
                <w:rFonts w:ascii="Arial" w:cs="Arial" w:eastAsia="Arial" w:hAnsi="Arial"/>
                <w:i/>
                <w:iCs/>
                <w:color w:val="7A7060"/>
                <w:sz w:val="19"/>
                <w:szCs w:val="19"/>
              </w:rPr>
              <w:t xml:space="preserve">Thai workforce facts are accurate; event context is well-researched and current</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0C0F18"/>
                <w:sz w:val="20"/>
                <w:szCs w:val="20"/>
              </w:rPr>
              <w:t xml:space="preserve">Prompt Engineering</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ourier New" w:cs="Courier New" w:eastAsia="Courier New" w:hAnsi="Courier New"/>
                <w:color w:val="1A6B3C"/>
                <w:sz w:val="16"/>
                <w:szCs w:val="16"/>
              </w:rPr>
              <w:t xml:space="preserve">█░░░░░░░░░</w:t>
            </w:r>
          </w:p>
        </w:tc>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Arial" w:cs="Arial" w:eastAsia="Arial" w:hAnsi="Arial"/>
                <w:b/>
                <w:bCs/>
                <w:color w:val="1A6B3C"/>
                <w:sz w:val="20"/>
                <w:szCs w:val="20"/>
              </w:rPr>
              <w:t xml:space="preserve">9/10</w:t>
            </w:r>
          </w:p>
        </w:tc>
        <w:tc>
          <w:tcPr>
            <w:tcW w:type="dxa" w:w="4060"/>
            <w:tcBorders>
              <w:top w:val="none" w:color="FFFFFF" w:sz="0"/>
              <w:left w:val="none" w:color="FFFFFF" w:sz="0"/>
              <w:bottom w:val="none" w:color="FFFFFF" w:sz="0"/>
              <w:right w:val="none" w:color="FFFFFF" w:sz="0"/>
            </w:tcBorders>
            <w:tcMar>
              <w:top w:type="dxa" w:w="60"/>
              <w:left w:type="dxa" w:w="120"/>
              <w:bottom w:type="dxa" w:w="60"/>
              <w:right w:type="dxa" w:w="100"/>
            </w:tcMar>
          </w:tcPr>
          <w:p>
            <w:r>
              <w:rPr>
                <w:rFonts w:ascii="Arial" w:cs="Arial" w:eastAsia="Arial" w:hAnsi="Arial"/>
                <w:i/>
                <w:iCs/>
                <w:color w:val="7A7060"/>
                <w:sz w:val="19"/>
                <w:szCs w:val="19"/>
              </w:rPr>
              <w:t xml:space="preserve">Forces AI specificity: named companies, baht wages, worker counts, institutions</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0C0F18"/>
                <w:sz w:val="20"/>
                <w:szCs w:val="20"/>
              </w:rPr>
              <w:t xml:space="preserve">UI/UX Design</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ourier New" w:cs="Courier New" w:eastAsia="Courier New" w:hAnsi="Courier New"/>
                <w:color w:val="1A6B3C"/>
                <w:sz w:val="16"/>
                <w:szCs w:val="16"/>
              </w:rPr>
              <w:t xml:space="preserve">█░░░░░░░░░</w:t>
            </w:r>
          </w:p>
        </w:tc>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Arial" w:cs="Arial" w:eastAsia="Arial" w:hAnsi="Arial"/>
                <w:b/>
                <w:bCs/>
                <w:color w:val="1A6B3C"/>
                <w:sz w:val="20"/>
                <w:szCs w:val="20"/>
              </w:rPr>
              <w:t xml:space="preserve">8/10</w:t>
            </w:r>
          </w:p>
        </w:tc>
        <w:tc>
          <w:tcPr>
            <w:tcW w:type="dxa" w:w="4060"/>
            <w:tcBorders>
              <w:top w:val="none" w:color="FFFFFF" w:sz="0"/>
              <w:left w:val="none" w:color="FFFFFF" w:sz="0"/>
              <w:bottom w:val="none" w:color="FFFFFF" w:sz="0"/>
              <w:right w:val="none" w:color="FFFFFF" w:sz="0"/>
            </w:tcBorders>
            <w:tcMar>
              <w:top w:type="dxa" w:w="60"/>
              <w:left w:type="dxa" w:w="120"/>
              <w:bottom w:type="dxa" w:w="60"/>
              <w:right w:type="dxa" w:w="100"/>
            </w:tcMar>
          </w:tcPr>
          <w:p>
            <w:r>
              <w:rPr>
                <w:rFonts w:ascii="Arial" w:cs="Arial" w:eastAsia="Arial" w:hAnsi="Arial"/>
                <w:i/>
                <w:iCs/>
                <w:color w:val="7A7060"/>
                <w:sz w:val="19"/>
                <w:szCs w:val="19"/>
              </w:rPr>
              <w:t xml:space="preserve">Distinctive warm-paper aesthetic; 5-tab structure is logical and scannable</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0C0F18"/>
                <w:sz w:val="20"/>
                <w:szCs w:val="20"/>
              </w:rPr>
              <w:t xml:space="preserve">Technical Architecture</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ourier New" w:cs="Courier New" w:eastAsia="Courier New" w:hAnsi="Courier New"/>
                <w:color w:val="B84C1A"/>
                <w:sz w:val="16"/>
                <w:szCs w:val="16"/>
              </w:rPr>
              <w:t xml:space="preserve">█░░░░░░░░░</w:t>
            </w:r>
          </w:p>
        </w:tc>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Arial" w:cs="Arial" w:eastAsia="Arial" w:hAnsi="Arial"/>
                <w:b/>
                <w:bCs/>
                <w:color w:val="B84C1A"/>
                <w:sz w:val="20"/>
                <w:szCs w:val="20"/>
              </w:rPr>
              <w:t xml:space="preserve">6/10</w:t>
            </w:r>
          </w:p>
        </w:tc>
        <w:tc>
          <w:tcPr>
            <w:tcW w:type="dxa" w:w="4060"/>
            <w:tcBorders>
              <w:top w:val="none" w:color="FFFFFF" w:sz="0"/>
              <w:left w:val="none" w:color="FFFFFF" w:sz="0"/>
              <w:bottom w:val="none" w:color="FFFFFF" w:sz="0"/>
              <w:right w:val="none" w:color="FFFFFF" w:sz="0"/>
            </w:tcBorders>
            <w:tcMar>
              <w:top w:type="dxa" w:w="60"/>
              <w:left w:type="dxa" w:w="120"/>
              <w:bottom w:type="dxa" w:w="60"/>
              <w:right w:type="dxa" w:w="100"/>
            </w:tcMar>
          </w:tcPr>
          <w:p>
            <w:r>
              <w:rPr>
                <w:rFonts w:ascii="Arial" w:cs="Arial" w:eastAsia="Arial" w:hAnsi="Arial"/>
                <w:i/>
                <w:iCs/>
                <w:color w:val="7A7060"/>
                <w:sz w:val="19"/>
                <w:szCs w:val="19"/>
              </w:rPr>
              <w:t xml:space="preserve">Functional but fragile: 1,860-line monolith, no persistence, mock icon regression</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0C0F18"/>
                <w:sz w:val="20"/>
                <w:szCs w:val="20"/>
              </w:rPr>
              <w:t xml:space="preserve">Accessibility</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ourier New" w:cs="Courier New" w:eastAsia="Courier New" w:hAnsi="Courier New"/>
                <w:color w:val="B84C1A"/>
                <w:sz w:val="16"/>
                <w:szCs w:val="16"/>
              </w:rPr>
              <w:t xml:space="preserve">█░░░░░░░░░</w:t>
            </w:r>
          </w:p>
        </w:tc>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Arial" w:cs="Arial" w:eastAsia="Arial" w:hAnsi="Arial"/>
                <w:b/>
                <w:bCs/>
                <w:color w:val="B84C1A"/>
                <w:sz w:val="20"/>
                <w:szCs w:val="20"/>
              </w:rPr>
              <w:t xml:space="preserve">7/10</w:t>
            </w:r>
          </w:p>
        </w:tc>
        <w:tc>
          <w:tcPr>
            <w:tcW w:type="dxa" w:w="4060"/>
            <w:tcBorders>
              <w:top w:val="none" w:color="FFFFFF" w:sz="0"/>
              <w:left w:val="none" w:color="FFFFFF" w:sz="0"/>
              <w:bottom w:val="none" w:color="FFFFFF" w:sz="0"/>
              <w:right w:val="none" w:color="FFFFFF" w:sz="0"/>
            </w:tcBorders>
            <w:tcMar>
              <w:top w:type="dxa" w:w="60"/>
              <w:left w:type="dxa" w:w="120"/>
              <w:bottom w:type="dxa" w:w="60"/>
              <w:right w:type="dxa" w:w="100"/>
            </w:tcMar>
          </w:tcPr>
          <w:p>
            <w:r>
              <w:rPr>
                <w:rFonts w:ascii="Arial" w:cs="Arial" w:eastAsia="Arial" w:hAnsi="Arial"/>
                <w:i/>
                <w:iCs/>
                <w:color w:val="7A7060"/>
                <w:sz w:val="19"/>
                <w:szCs w:val="19"/>
              </w:rPr>
              <w:t xml:space="preserve">ARIA roles present; keyboard nav works; colour contrast adequate; some gaps</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0C0F18"/>
                <w:sz w:val="20"/>
                <w:szCs w:val="20"/>
              </w:rPr>
              <w:t xml:space="preserve">Production Readiness</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ourier New" w:cs="Courier New" w:eastAsia="Courier New" w:hAnsi="Courier New"/>
                <w:color w:val="B84C1A"/>
                <w:sz w:val="16"/>
                <w:szCs w:val="16"/>
              </w:rPr>
              <w:t xml:space="preserve">█░░░░░░░░░</w:t>
            </w:r>
          </w:p>
        </w:tc>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Arial" w:cs="Arial" w:eastAsia="Arial" w:hAnsi="Arial"/>
                <w:b/>
                <w:bCs/>
                <w:color w:val="B84C1A"/>
                <w:sz w:val="20"/>
                <w:szCs w:val="20"/>
              </w:rPr>
              <w:t xml:space="preserve">5/10</w:t>
            </w:r>
          </w:p>
        </w:tc>
        <w:tc>
          <w:tcPr>
            <w:tcW w:type="dxa" w:w="4060"/>
            <w:tcBorders>
              <w:top w:val="none" w:color="FFFFFF" w:sz="0"/>
              <w:left w:val="none" w:color="FFFFFF" w:sz="0"/>
              <w:bottom w:val="none" w:color="FFFFFF" w:sz="0"/>
              <w:right w:val="none" w:color="FFFFFF" w:sz="0"/>
            </w:tcBorders>
            <w:tcMar>
              <w:top w:type="dxa" w:w="60"/>
              <w:left w:type="dxa" w:w="120"/>
              <w:bottom w:type="dxa" w:w="60"/>
              <w:right w:type="dxa" w:w="100"/>
            </w:tcMar>
          </w:tcPr>
          <w:p>
            <w:r>
              <w:rPr>
                <w:rFonts w:ascii="Arial" w:cs="Arial" w:eastAsia="Arial" w:hAnsi="Arial"/>
                <w:i/>
                <w:iCs/>
                <w:color w:val="7A7060"/>
                <w:sz w:val="19"/>
                <w:szCs w:val="19"/>
              </w:rPr>
              <w:t xml:space="preserve">Robust in happy path; missing citations, broken icons in mock, partial compare</w:t>
            </w:r>
          </w:p>
        </w:tc>
      </w:tr>
      <w:t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Arial" w:cs="Arial" w:eastAsia="Arial" w:hAnsi="Arial"/>
                <w:b/>
                <w:bCs/>
                <w:color w:val="0C0F18"/>
                <w:sz w:val="20"/>
                <w:szCs w:val="20"/>
              </w:rPr>
              <w:t xml:space="preserve">Commercial Potential</w:t>
            </w:r>
          </w:p>
        </w:tc>
        <w:tc>
          <w:tcPr>
            <w:tcW w:type="dxa" w:w="2200"/>
            <w:tcBorders>
              <w:top w:val="none" w:color="FFFFFF" w:sz="0"/>
              <w:left w:val="none" w:color="FFFFFF" w:sz="0"/>
              <w:bottom w:val="none" w:color="FFFFFF" w:sz="0"/>
              <w:right w:val="none" w:color="FFFFFF" w:sz="0"/>
            </w:tcBorders>
            <w:tcMar>
              <w:top w:type="dxa" w:w="60"/>
              <w:left w:type="dxa" w:w="100"/>
              <w:bottom w:type="dxa" w:w="60"/>
              <w:right w:type="dxa" w:w="100"/>
            </w:tcMar>
          </w:tcPr>
          <w:p>
            <w:r>
              <w:rPr>
                <w:rFonts w:ascii="Courier New" w:cs="Courier New" w:eastAsia="Courier New" w:hAnsi="Courier New"/>
                <w:color w:val="1A6B3C"/>
                <w:sz w:val="16"/>
                <w:szCs w:val="16"/>
              </w:rPr>
              <w:t xml:space="preserve">█░░░░░░░░░</w:t>
            </w:r>
          </w:p>
        </w:tc>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Arial" w:cs="Arial" w:eastAsia="Arial" w:hAnsi="Arial"/>
                <w:b/>
                <w:bCs/>
                <w:color w:val="1A6B3C"/>
                <w:sz w:val="20"/>
                <w:szCs w:val="20"/>
              </w:rPr>
              <w:t xml:space="preserve">8/10</w:t>
            </w:r>
          </w:p>
        </w:tc>
        <w:tc>
          <w:tcPr>
            <w:tcW w:type="dxa" w:w="4060"/>
            <w:tcBorders>
              <w:top w:val="none" w:color="FFFFFF" w:sz="0"/>
              <w:left w:val="none" w:color="FFFFFF" w:sz="0"/>
              <w:bottom w:val="none" w:color="FFFFFF" w:sz="0"/>
              <w:right w:val="none" w:color="FFFFFF" w:sz="0"/>
            </w:tcBorders>
            <w:tcMar>
              <w:top w:type="dxa" w:w="60"/>
              <w:left w:type="dxa" w:w="120"/>
              <w:bottom w:type="dxa" w:w="60"/>
              <w:right w:type="dxa" w:w="100"/>
            </w:tcMar>
          </w:tcPr>
          <w:p>
            <w:r>
              <w:rPr>
                <w:rFonts w:ascii="Arial" w:cs="Arial" w:eastAsia="Arial" w:hAnsi="Arial"/>
                <w:i/>
                <w:iCs/>
                <w:color w:val="7A7060"/>
                <w:sz w:val="19"/>
                <w:szCs w:val="19"/>
              </w:rPr>
              <w:t xml:space="preserve">Strong fit for ILO/WB/ADB, multinational HR, BOT, investment research</w:t>
            </w:r>
          </w:p>
        </w:tc>
      </w:tr>
    </w:tbl>
    <w:p>
      <w:pPr>
        <w:spacing w:after="120"/>
      </w:pPr>
    </w:p>
    <w:p>
      <w:pPr>
        <w:jc w:val="right"/>
      </w:pPr>
      <w:r>
        <w:rPr>
          <w:rFonts w:ascii="Arial" w:cs="Arial" w:eastAsia="Arial" w:hAnsi="Arial"/>
          <w:b/>
          <w:bCs/>
          <w:color w:val="7A7060"/>
          <w:sz w:val="22"/>
          <w:szCs w:val="22"/>
        </w:rPr>
        <w:t xml:space="preserve">COMPOSITE SCORE: </w:t>
      </w:r>
      <w:r>
        <w:rPr>
          <w:rFonts w:ascii="Arial" w:cs="Arial" w:eastAsia="Arial" w:hAnsi="Arial"/>
          <w:b/>
          <w:bCs/>
          <w:color w:val="1A6B3C"/>
          <w:sz w:val="28"/>
          <w:szCs w:val="28"/>
        </w:rPr>
        <w:t xml:space="preserve">7.5 / 10</w:t>
      </w:r>
      <w:r>
        <w:rPr>
          <w:rFonts w:ascii="Arial" w:cs="Arial" w:eastAsia="Arial" w:hAnsi="Arial"/>
          <w:i/>
          <w:iCs/>
          <w:color w:val="7A7060"/>
          <w:sz w:val="20"/>
          <w:szCs w:val="20"/>
        </w:rPr>
        <w:t xml:space="preserve">  — Strong MVP, path to 9.0 with targeted fixes</w:t>
      </w:r>
    </w:p>
    <w:p>
      <w:pPr>
        <w:pBdr>
          <w:bottom w:val="single" w:color="CCCCCC" w:sz="4" w:space="1"/>
        </w:pBdr>
        <w:spacing w:before="160" w:after="160"/>
      </w:pPr>
    </w:p>
    <w:p>
      <w:pPr>
        <w:pStyle w:val="Heading1"/>
        <w:spacing w:before="300" w:after="120"/>
      </w:pPr>
      <w:r>
        <w:rPr>
          <w:rFonts w:ascii="Arial" w:cs="Arial" w:eastAsia="Arial" w:hAnsi="Arial"/>
          <w:b/>
          <w:bCs/>
          <w:color w:val="0C0F18"/>
          <w:sz w:val="36"/>
          <w:szCs w:val="36"/>
        </w:rPr>
        <w:t xml:space="preserve">1. Value Proposition &amp; Market Positioning</w:t>
      </w:r>
    </w:p>
    <w:p>
      <w:pPr>
        <w:pStyle w:val="Heading2"/>
        <w:spacing w:before="300" w:after="120"/>
      </w:pPr>
      <w:r>
        <w:rPr>
          <w:rFonts w:ascii="Arial" w:cs="Arial" w:eastAsia="Arial" w:hAnsi="Arial"/>
          <w:b/>
          <w:bCs/>
          <w:color w:val="0C0F18"/>
          <w:sz w:val="28"/>
          <w:szCs w:val="28"/>
        </w:rPr>
        <w:t xml:space="preserve">1.1 The Gap This Fills</w:t>
      </w:r>
    </w:p>
    <w:p>
      <w:pPr>
        <w:pStyle w:val="Normal"/>
        <w:spacing w:after="140"/>
      </w:pPr>
      <w:r>
        <w:rPr>
          <w:rFonts w:ascii="Arial" w:cs="Arial" w:eastAsia="Arial" w:hAnsi="Arial"/>
          <w:color w:val="0C0F18"/>
          <w:sz w:val="22"/>
          <w:szCs w:val="22"/>
        </w:rPr>
        <w:t xml:space="preserve">The Thai labour market is poorly served by existing intelligence tools. ILO and World Bank Thailand country pages provide annual aggregate statistics. Bloomberg and Reuters cover macro events but never map them to specific profession-level wage and employment impacts. Thai government sources (NSO, NESDC, BOT) publish lagged data with no event-driven analysis capability. This tool provides something none of them do: a sub-24-hour answer to the question 'what does this specific event mean for these 18 specific categories of Thai workers?'</w:t>
      </w:r>
    </w:p>
    <w:p>
      <w:pPr>
        <w:pStyle w:val="Heading2"/>
        <w:spacing w:before="300" w:after="120"/>
      </w:pPr>
      <w:r>
        <w:rPr>
          <w:rFonts w:ascii="Arial" w:cs="Arial" w:eastAsia="Arial" w:hAnsi="Arial"/>
          <w:b/>
          <w:bCs/>
          <w:color w:val="0C0F18"/>
          <w:sz w:val="28"/>
          <w:szCs w:val="28"/>
        </w:rPr>
        <w:t xml:space="preserve">1.2 Target Audience Analysis</w:t>
      </w:r>
    </w:p>
    <w:p>
      <w:pPr>
        <w:pStyle w:val="Normal"/>
        <w:spacing w:after="140"/>
      </w:pPr>
      <w:r>
        <w:rPr>
          <w:rFonts w:ascii="Arial" w:cs="Arial" w:eastAsia="Arial" w:hAnsi="Arial"/>
          <w:color w:val="0C0F18"/>
          <w:sz w:val="22"/>
          <w:szCs w:val="22"/>
        </w:rPr>
        <w:t xml:space="preserve">Three primary user segments have been identified:</w:t>
      </w:r>
    </w:p>
    <w:p>
      <w:pPr>
        <w:pStyle w:val="ListParagraph"/>
        <w:numPr>
          <w:ilvl w:val="0"/>
          <w:numId w:val="2"/>
        </w:numPr>
        <w:spacing w:after="80"/>
      </w:pPr>
      <w:r>
        <w:rPr>
          <w:rFonts w:ascii="Arial" w:cs="Arial" w:eastAsia="Arial" w:hAnsi="Arial"/>
          <w:b w:val="false"/>
          <w:bCs w:val="false"/>
          <w:color w:val="0C0F18"/>
          <w:sz w:val="21"/>
          <w:szCs w:val="21"/>
        </w:rPr>
        <w:t xml:space="preserve">Multilateral &amp; research institutions (ILO Thailand, World Bank Thailand, ADB, OECD): researchers needing rapid triage of which worker populations are most affected by a crisis event before commissioning deeper fieldwork. This tool provides the research framing layer.</w:t>
      </w:r>
    </w:p>
    <w:p>
      <w:pPr>
        <w:pStyle w:val="ListParagraph"/>
        <w:numPr>
          <w:ilvl w:val="0"/>
          <w:numId w:val="2"/>
        </w:numPr>
        <w:spacing w:after="80"/>
      </w:pPr>
      <w:r>
        <w:rPr>
          <w:rFonts w:ascii="Arial" w:cs="Arial" w:eastAsia="Arial" w:hAnsi="Arial"/>
          <w:b w:val="false"/>
          <w:bCs w:val="false"/>
          <w:color w:val="0C0F18"/>
          <w:sz w:val="21"/>
          <w:szCs w:val="21"/>
        </w:rPr>
        <w:t xml:space="preserve">Multinational HR and procurement teams: companies with Thai supply chains (auto OEMs, electronics contract manufacturers, food processors) need to assess workforce risk exposure when macro events occur. Currently this requires engaging expensive consultants.</w:t>
      </w:r>
    </w:p>
    <w:p>
      <w:pPr>
        <w:pStyle w:val="ListParagraph"/>
        <w:numPr>
          <w:ilvl w:val="0"/>
          <w:numId w:val="2"/>
        </w:numPr>
        <w:spacing w:after="80"/>
      </w:pPr>
      <w:r>
        <w:rPr>
          <w:rFonts w:ascii="Arial" w:cs="Arial" w:eastAsia="Arial" w:hAnsi="Arial"/>
          <w:b w:val="false"/>
          <w:bCs w:val="false"/>
          <w:color w:val="0C0F18"/>
          <w:sz w:val="21"/>
          <w:szCs w:val="21"/>
        </w:rPr>
        <w:t xml:space="preserve">Thai policy analysts and journalists: professionals needing to translate macro events into human-impact narratives. The tool's outputs are written at exactly the right level of specificity for this use case.</w:t>
      </w:r>
    </w:p>
    <w:p>
      <w:pPr>
        <w:pStyle w:val="Normal"/>
        <w:spacing w:after="140"/>
      </w:pPr>
      <w:r>
        <w:rPr>
          <w:rFonts w:ascii="Arial" w:cs="Arial" w:eastAsia="Arial" w:hAnsi="Arial"/>
          <w:b w:val="false"/>
          <w:bCs w:val="false"/>
          <w:i w:val="false"/>
          <w:iCs w:val="false"/>
          <w:color w:val="0C0F18"/>
          <w:sz w:val="22"/>
          <w:szCs w:val="22"/>
        </w:rPr>
        <w:t xml:space="preserve">A secondary segment of </w:t>
      </w:r>
      <w:r>
        <w:rPr>
          <w:rFonts w:ascii="Arial" w:cs="Arial" w:eastAsia="Arial" w:hAnsi="Arial"/>
          <w:b/>
          <w:bCs/>
          <w:i w:val="false"/>
          <w:iCs w:val="false"/>
          <w:color w:val="0C0F18"/>
          <w:sz w:val="22"/>
          <w:szCs w:val="22"/>
        </w:rPr>
        <w:t xml:space="preserve">foreign investors and fund managers</w:t>
      </w:r>
      <w:r>
        <w:rPr>
          <w:rFonts w:ascii="Arial" w:cs="Arial" w:eastAsia="Arial" w:hAnsi="Arial"/>
          <w:b w:val="false"/>
          <w:bCs w:val="false"/>
          <w:i w:val="false"/>
          <w:iCs w:val="false"/>
          <w:color w:val="0C0F18"/>
          <w:sz w:val="22"/>
          <w:szCs w:val="22"/>
        </w:rPr>
        <w:t xml:space="preserve"> conducting Thailand due diligence is also plausible but less certain, as investment professionals typically prefer Bloomberg-style data over narrative analysis.</w:t>
      </w:r>
    </w:p>
    <w:p>
      <w:pPr>
        <w:pStyle w:val="Heading2"/>
        <w:spacing w:before="300" w:after="120"/>
      </w:pPr>
      <w:r>
        <w:rPr>
          <w:rFonts w:ascii="Arial" w:cs="Arial" w:eastAsia="Arial" w:hAnsi="Arial"/>
          <w:b/>
          <w:bCs/>
          <w:color w:val="0C0F18"/>
          <w:sz w:val="28"/>
          <w:szCs w:val="28"/>
        </w:rPr>
        <w:t xml:space="preserve">1.3 Differentiation</w:t>
      </w:r>
    </w:p>
    <w:p>
      <w:pPr>
        <w:pStyle w:val="Normal"/>
        <w:spacing w:after="140"/>
      </w:pPr>
      <w:r>
        <w:rPr>
          <w:rFonts w:ascii="Arial" w:cs="Arial" w:eastAsia="Arial" w:hAnsi="Arial"/>
          <w:color w:val="0C0F18"/>
          <w:sz w:val="22"/>
          <w:szCs w:val="22"/>
        </w:rPr>
        <w:t xml:space="preserve">The core differentiator is not the AI itself but the prompt architecture that surrounds it. The prompt forces the model to produce: named Thai companies and institutions, baht-denominated wage figures, specific geographical references (Isan, Rayong, Samut Sakhon), worker count estimates tied to NSO survey data, and adaptation paths that reference actual Thai government programmes (BAAC, BOI, SSSO Section 33). This is a much harder product to replicate than it appears, because the editorial layer — the 18 events with rich context strings — represents genuine research work, not just prompt engineering.</w:t>
      </w:r>
    </w:p>
    <w:p>
      <w:pPr>
        <w:pBdr>
          <w:bottom w:val="single" w:color="CCCCCC" w:sz="4" w:space="1"/>
        </w:pBdr>
        <w:spacing w:before="160" w:after="160"/>
      </w:pPr>
    </w:p>
    <w:p>
      <w:pPr>
        <w:pStyle w:val="Heading1"/>
        <w:spacing w:before="300" w:after="120"/>
      </w:pPr>
      <w:r>
        <w:rPr>
          <w:rFonts w:ascii="Arial" w:cs="Arial" w:eastAsia="Arial" w:hAnsi="Arial"/>
          <w:b/>
          <w:bCs/>
          <w:color w:val="0C0F18"/>
          <w:sz w:val="36"/>
          <w:szCs w:val="36"/>
        </w:rPr>
        <w:t xml:space="preserve">2. Data Quality &amp; Factual Accuracy</w:t>
      </w:r>
    </w:p>
    <w:p>
      <w:pPr>
        <w:pStyle w:val="Heading2"/>
        <w:spacing w:before="300" w:after="120"/>
      </w:pPr>
      <w:r>
        <w:rPr>
          <w:rFonts w:ascii="Arial" w:cs="Arial" w:eastAsia="Arial" w:hAnsi="Arial"/>
          <w:b/>
          <w:bCs/>
          <w:color w:val="0C0F18"/>
          <w:sz w:val="28"/>
          <w:szCs w:val="28"/>
        </w:rPr>
        <w:t xml:space="preserve">2.1 Thai Workforce Statistics</w:t>
      </w:r>
    </w:p>
    <w:p>
      <w:pPr>
        <w:pStyle w:val="Normal"/>
        <w:spacing w:after="140"/>
      </w:pPr>
      <w:r>
        <w:rPr>
          <w:rFonts w:ascii="Arial" w:cs="Arial" w:eastAsia="Arial" w:hAnsi="Arial"/>
          <w:color w:val="0C0F18"/>
          <w:sz w:val="22"/>
          <w:szCs w:val="22"/>
        </w:rPr>
        <w:t xml:space="preserve">The core workforce data embedded in the application is accurate and appropriately sourced:</w:t>
      </w:r>
    </w:p>
    <w:p>
      <w:pPr>
        <w:pStyle w:val="ListParagraph"/>
        <w:numPr>
          <w:ilvl w:val="0"/>
          <w:numId w:val="2"/>
        </w:numPr>
        <w:spacing w:after="80"/>
      </w:pPr>
      <w:r>
        <w:rPr>
          <w:rFonts w:ascii="Arial" w:cs="Arial" w:eastAsia="Arial" w:hAnsi="Arial"/>
          <w:b w:val="false"/>
          <w:bCs w:val="false"/>
          <w:color w:val="0C0F18"/>
          <w:sz w:val="21"/>
          <w:szCs w:val="21"/>
        </w:rPr>
        <w:t xml:space="preserve">Total workforce 40.6M, agriculture 30% (12M), industry 22% (9M), services 48% (19M) — consistent with NSO Labour Force Survey 2024</w:t>
      </w:r>
    </w:p>
    <w:p>
      <w:pPr>
        <w:pStyle w:val="ListParagraph"/>
        <w:numPr>
          <w:ilvl w:val="0"/>
          <w:numId w:val="2"/>
        </w:numPr>
        <w:spacing w:after="80"/>
      </w:pPr>
      <w:r>
        <w:rPr>
          <w:rFonts w:ascii="Arial" w:cs="Arial" w:eastAsia="Arial" w:hAnsi="Arial"/>
          <w:b w:val="false"/>
          <w:bCs w:val="false"/>
          <w:color w:val="0C0F18"/>
          <w:sz w:val="21"/>
          <w:szCs w:val="21"/>
        </w:rPr>
        <w:t xml:space="preserve">50%+ informal sector — consistent with NSO 2024; ILO Southeast Asia estimates</w:t>
      </w:r>
    </w:p>
    <w:p>
      <w:pPr>
        <w:pStyle w:val="ListParagraph"/>
        <w:numPr>
          <w:ilvl w:val="0"/>
          <w:numId w:val="2"/>
        </w:numPr>
        <w:spacing w:after="80"/>
      </w:pPr>
      <w:r>
        <w:rPr>
          <w:rFonts w:ascii="Arial" w:cs="Arial" w:eastAsia="Arial" w:hAnsi="Arial"/>
          <w:b w:val="false"/>
          <w:bCs w:val="false"/>
          <w:color w:val="0C0F18"/>
          <w:sz w:val="21"/>
          <w:szCs w:val="21"/>
        </w:rPr>
        <w:t xml:space="preserve">75% in low-skilled occupations — consistent with BIS working paper on Thai labour markets</w:t>
      </w:r>
    </w:p>
    <w:p>
      <w:pPr>
        <w:pStyle w:val="ListParagraph"/>
        <w:numPr>
          <w:ilvl w:val="0"/>
          <w:numId w:val="2"/>
        </w:numPr>
        <w:spacing w:after="80"/>
      </w:pPr>
      <w:r>
        <w:rPr>
          <w:rFonts w:ascii="Arial" w:cs="Arial" w:eastAsia="Arial" w:hAnsi="Arial"/>
          <w:b w:val="false"/>
          <w:bCs w:val="false"/>
          <w:color w:val="0C0F18"/>
          <w:sz w:val="21"/>
          <w:szCs w:val="21"/>
        </w:rPr>
        <w:t xml:space="preserve">Household debt ~90% of GDP — consistent with BOT data; slightly conservative (some 2025 estimates reach 91-92%)</w:t>
      </w:r>
    </w:p>
    <w:p>
      <w:pPr>
        <w:pStyle w:val="ListParagraph"/>
        <w:numPr>
          <w:ilvl w:val="0"/>
          <w:numId w:val="2"/>
        </w:numPr>
        <w:spacing w:after="80"/>
      </w:pPr>
      <w:r>
        <w:rPr>
          <w:rFonts w:ascii="Arial" w:cs="Arial" w:eastAsia="Arial" w:hAnsi="Arial"/>
          <w:b w:val="false"/>
          <w:bCs w:val="false"/>
          <w:color w:val="0C0F18"/>
          <w:sz w:val="21"/>
          <w:szCs w:val="21"/>
        </w:rPr>
        <w:t xml:space="preserve">Youth unemployment 4.3% vs. national ~1% — consistent with NSO graduate tracking surveys</w:t>
      </w:r>
    </w:p>
    <w:p>
      <w:pPr>
        <w:pStyle w:val="ListParagraph"/>
        <w:numPr>
          <w:ilvl w:val="0"/>
          <w:numId w:val="2"/>
        </w:numPr>
        <w:spacing w:after="80"/>
      </w:pPr>
      <w:r>
        <w:rPr>
          <w:rFonts w:ascii="Arial" w:cs="Arial" w:eastAsia="Arial" w:hAnsi="Arial"/>
          <w:b w:val="false"/>
          <w:bCs w:val="false"/>
          <w:color w:val="0C0F18"/>
          <w:sz w:val="21"/>
          <w:szCs w:val="21"/>
        </w:rPr>
        <w:t xml:space="preserve">Auto sector: 400,000–750,000 workers range is cited correctly across different measurement conventions (direct vs. supply chain)</w:t>
      </w:r>
    </w:p>
    <w:p>
      <w:pPr>
        <w:pStyle w:val="ListParagraph"/>
        <w:numPr>
          <w:ilvl w:val="0"/>
          <w:numId w:val="2"/>
        </w:numPr>
        <w:spacing w:after="80"/>
      </w:pPr>
      <w:r>
        <w:rPr>
          <w:rFonts w:ascii="Arial" w:cs="Arial" w:eastAsia="Arial" w:hAnsi="Arial"/>
          <w:b w:val="false"/>
          <w:bCs w:val="false"/>
          <w:color w:val="0C0F18"/>
          <w:sz w:val="21"/>
          <w:szCs w:val="21"/>
        </w:rPr>
        <w:t xml:space="preserve">600,000 Thai migrant workers in Gulf states — within the credible range per Ministry of Labour overseas worker data</w:t>
      </w:r>
    </w:p>
    <w:p>
      <w:pPr>
        <w:pStyle w:val="Heading2"/>
        <w:spacing w:before="300" w:after="120"/>
      </w:pPr>
      <w:r>
        <w:rPr>
          <w:rFonts w:ascii="Arial" w:cs="Arial" w:eastAsia="Arial" w:hAnsi="Arial"/>
          <w:b/>
          <w:bCs/>
          <w:color w:val="0C0F18"/>
          <w:sz w:val="28"/>
          <w:szCs w:val="28"/>
        </w:rPr>
        <w:t xml:space="preserve">2.2 Event Context Accuracy</w:t>
      </w:r>
    </w:p>
    <w:p>
      <w:pPr>
        <w:pStyle w:val="Normal"/>
        <w:spacing w:after="140"/>
      </w:pPr>
      <w:r>
        <w:rPr>
          <w:rFonts w:ascii="Arial" w:cs="Arial" w:eastAsia="Arial" w:hAnsi="Arial"/>
          <w:color w:val="0C0F18"/>
          <w:sz w:val="22"/>
          <w:szCs w:val="22"/>
        </w:rPr>
        <w:t xml:space="preserve">The 18 pre-loaded events are current as of early 2026 and factually grounded:</w:t>
      </w:r>
    </w:p>
    <w:p>
      <w:pPr>
        <w:pStyle w:val="ListParagraph"/>
        <w:numPr>
          <w:ilvl w:val="0"/>
          <w:numId w:val="2"/>
        </w:numPr>
        <w:spacing w:after="80"/>
      </w:pPr>
      <w:r>
        <w:rPr>
          <w:rFonts w:ascii="Arial" w:cs="Arial" w:eastAsia="Arial" w:hAnsi="Arial"/>
          <w:b w:val="false"/>
          <w:bCs w:val="false"/>
          <w:color w:val="0C0F18"/>
          <w:sz w:val="21"/>
          <w:szCs w:val="21"/>
        </w:rPr>
        <w:t xml:space="preserve">Hormuz closure scenario details (vessel numbers, Brent pricing, Nomura vulnerability ranking) are accurate to March 2026</w:t>
      </w:r>
    </w:p>
    <w:p>
      <w:pPr>
        <w:pStyle w:val="ListParagraph"/>
        <w:numPr>
          <w:ilvl w:val="0"/>
          <w:numId w:val="2"/>
        </w:numPr>
        <w:spacing w:after="80"/>
      </w:pPr>
      <w:r>
        <w:rPr>
          <w:rFonts w:ascii="Arial" w:cs="Arial" w:eastAsia="Arial" w:hAnsi="Arial"/>
          <w:b w:val="false"/>
          <w:bCs w:val="false"/>
          <w:color w:val="0C0F18"/>
          <w:sz w:val="21"/>
          <w:szCs w:val="21"/>
        </w:rPr>
        <w:t xml:space="preserve">US 19% tariff figure, TPSO export forecast range (-3.1% to +1.1%), and the 275B baht impact estimate are consistent with publicly available Thai government forecasts</w:t>
      </w:r>
    </w:p>
    <w:p>
      <w:pPr>
        <w:pStyle w:val="ListParagraph"/>
        <w:numPr>
          <w:ilvl w:val="0"/>
          <w:numId w:val="2"/>
        </w:numPr>
        <w:spacing w:after="80"/>
      </w:pPr>
      <w:r>
        <w:rPr>
          <w:rFonts w:ascii="Arial" w:cs="Arial" w:eastAsia="Arial" w:hAnsi="Arial"/>
          <w:b w:val="false"/>
          <w:bCs w:val="false"/>
          <w:color w:val="0C0F18"/>
          <w:sz w:val="21"/>
          <w:szCs w:val="21"/>
        </w:rPr>
        <w:t xml:space="preserve">Thai electronics export surge of 54.3% YoY for December 2025 is a real data point</w:t>
      </w:r>
    </w:p>
    <w:p>
      <w:pPr>
        <w:pStyle w:val="ListParagraph"/>
        <w:numPr>
          <w:ilvl w:val="0"/>
          <w:numId w:val="2"/>
        </w:numPr>
        <w:spacing w:after="80"/>
      </w:pPr>
      <w:r>
        <w:rPr>
          <w:rFonts w:ascii="Arial" w:cs="Arial" w:eastAsia="Arial" w:hAnsi="Arial"/>
          <w:b w:val="false"/>
          <w:bCs w:val="false"/>
          <w:color w:val="0C0F18"/>
          <w:sz w:val="21"/>
          <w:szCs w:val="21"/>
        </w:rPr>
        <w:t xml:space="preserve">EEC investments (Microsoft Thailand Cloud, Google Cloud Thailand, PTT-Foxconn HorizonPlus) are accurately described</w:t>
      </w:r>
    </w:p>
    <w:p>
      <w:pPr>
        <w:pStyle w:val="ListParagraph"/>
        <w:numPr>
          <w:ilvl w:val="0"/>
          <w:numId w:val="2"/>
        </w:numPr>
        <w:spacing w:after="80"/>
      </w:pPr>
      <w:r>
        <w:rPr>
          <w:rFonts w:ascii="Arial" w:cs="Arial" w:eastAsia="Arial" w:hAnsi="Arial"/>
          <w:b w:val="false"/>
          <w:bCs w:val="false"/>
          <w:color w:val="0C0F18"/>
          <w:sz w:val="21"/>
          <w:szCs w:val="21"/>
        </w:rPr>
        <w:t xml:space="preserve">BOI 8-year corporate tax holiday for semiconductor investment — correct per current BOI incentive schedule</w:t>
      </w:r>
    </w:p>
    <w:p>
      <w:pPr>
        <w:pStyle w:val="Heading2"/>
        <w:spacing w:before="300" w:after="120"/>
      </w:pPr>
      <w:r>
        <w:rPr>
          <w:rFonts w:ascii="Arial" w:cs="Arial" w:eastAsia="Arial" w:hAnsi="Arial"/>
          <w:b/>
          <w:bCs/>
          <w:color w:val="0C0F18"/>
          <w:sz w:val="28"/>
          <w:szCs w:val="28"/>
        </w:rPr>
        <w:t xml:space="preserve">2.3 Data Limitations</w:t>
      </w:r>
    </w:p>
    <w:p>
      <w:pPr>
        <w:pStyle w:val="Normal"/>
        <w:spacing w:after="140"/>
      </w:pPr>
      <w:r>
        <w:rPr>
          <w:rFonts w:ascii="Arial" w:cs="Arial" w:eastAsia="Arial" w:hAnsi="Arial"/>
          <w:b/>
          <w:bCs/>
          <w:i w:val="false"/>
          <w:iCs w:val="false"/>
          <w:color w:val="0C0F18"/>
          <w:sz w:val="22"/>
          <w:szCs w:val="22"/>
        </w:rPr>
        <w:t xml:space="preserve">One important caveat: </w:t>
      </w:r>
      <w:r>
        <w:rPr>
          <w:rFonts w:ascii="Arial" w:cs="Arial" w:eastAsia="Arial" w:hAnsi="Arial"/>
          <w:b w:val="false"/>
          <w:bCs w:val="false"/>
          <w:i w:val="false"/>
          <w:iCs w:val="false"/>
          <w:color w:val="0C0F18"/>
          <w:sz w:val="22"/>
          <w:szCs w:val="22"/>
        </w:rPr>
        <w:t xml:space="preserve">the AI-generated profession-level impact scores and wage change percentages should be treated as </w:t>
      </w:r>
      <w:r>
        <w:rPr>
          <w:rFonts w:ascii="Arial" w:cs="Arial" w:eastAsia="Arial" w:hAnsi="Arial"/>
          <w:b/>
          <w:bCs/>
          <w:i w:val="false"/>
          <w:iCs w:val="false"/>
          <w:color w:val="B84C1A"/>
          <w:sz w:val="22"/>
          <w:szCs w:val="22"/>
        </w:rPr>
        <w:t xml:space="preserve">informed estimates, not empirical measurements</w:t>
      </w:r>
      <w:r>
        <w:rPr>
          <w:rFonts w:ascii="Arial" w:cs="Arial" w:eastAsia="Arial" w:hAnsi="Arial"/>
          <w:b w:val="false"/>
          <w:bCs w:val="false"/>
          <w:i w:val="false"/>
          <w:iCs w:val="false"/>
          <w:color w:val="0C0F18"/>
          <w:sz w:val="22"/>
          <w:szCs w:val="22"/>
        </w:rPr>
        <w:t xml:space="preserve">. A figure like '‒35% to ‒55% wage impact on deep-sea fishing crew' is plausible and coherent with the underlying energy cost analysis, but it is model-generated, not derived from fieldwork or employer surveys. The tool should carry a prominent methodological disclosure to this effect.</w:t>
      </w:r>
    </w:p>
    <w:p>
      <w:pPr>
        <w:pBdr>
          <w:bottom w:val="single" w:color="CCCCCC" w:sz="4" w:space="1"/>
        </w:pBdr>
        <w:spacing w:before="160" w:after="160"/>
      </w:pPr>
    </w:p>
    <w:p>
      <w:pPr>
        <w:pStyle w:val="Heading1"/>
        <w:spacing w:before="300" w:after="120"/>
      </w:pPr>
      <w:r>
        <w:rPr>
          <w:rFonts w:ascii="Arial" w:cs="Arial" w:eastAsia="Arial" w:hAnsi="Arial"/>
          <w:b/>
          <w:bCs/>
          <w:color w:val="0C0F18"/>
          <w:sz w:val="36"/>
          <w:szCs w:val="36"/>
        </w:rPr>
        <w:t xml:space="preserve">3. Technical Architecture Review</w:t>
      </w:r>
    </w:p>
    <w:p>
      <w:pPr>
        <w:pStyle w:val="Heading2"/>
        <w:spacing w:before="300" w:after="120"/>
      </w:pPr>
      <w:r>
        <w:rPr>
          <w:rFonts w:ascii="Arial" w:cs="Arial" w:eastAsia="Arial" w:hAnsi="Arial"/>
          <w:b/>
          <w:bCs/>
          <w:color w:val="0C0F18"/>
          <w:sz w:val="28"/>
          <w:szCs w:val="28"/>
        </w:rPr>
        <w:t xml:space="preserve">3.1 Architecture Overview</w:t>
      </w:r>
    </w:p>
    <w:p>
      <w:pPr>
        <w:pStyle w:val="Normal"/>
        <w:spacing w:after="140"/>
      </w:pPr>
      <w:r>
        <w:rPr>
          <w:rFonts w:ascii="Arial" w:cs="Arial" w:eastAsia="Arial" w:hAnsi="Arial"/>
          <w:color w:val="0C0F18"/>
          <w:sz w:val="22"/>
          <w:szCs w:val="22"/>
        </w:rPr>
        <w:t xml:space="preserve">The application is a single-file HTML document (142,786 bytes; 1,860 lines) containing HTML structure, all CSS with design tokens, the full JavaScript application, and the mock analysis dataset. It calls the Anthropic API directly from the browser using the anthropic-dangerous-direct-browser-access header.</w:t>
      </w:r>
    </w:p>
    <w:p>
      <w:pPr>
        <w:pStyle w:val="Normal"/>
        <w:spacing w:after="140"/>
      </w:pPr>
      <w:r>
        <w:rPr>
          <w:rFonts w:ascii="Arial" w:cs="Arial" w:eastAsia="Arial" w:hAnsi="Arial"/>
          <w:color w:val="0C0F18"/>
          <w:sz w:val="22"/>
          <w:szCs w:val="22"/>
        </w:rPr>
        <w:t xml:space="preserve">This architecture is appropriate for its current phase (personal/research tool) but has trade-offs: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DDD0" w:sz="1"/>
              <w:left w:val="single" w:color="E5DDD0" w:sz="1"/>
              <w:bottom w:val="single" w:color="E5DDD0" w:sz="1"/>
              <w:right w:val="single" w:color="E5DDD0" w:sz="1"/>
            </w:tcBorders>
            <w:shd w:fill="F0E8D8" w:val="clear"/>
            <w:tcMar>
              <w:top w:type="dxa" w:w="80"/>
              <w:left w:type="dxa" w:w="120"/>
              <w:bottom w:type="dxa" w:w="80"/>
              <w:right w:type="dxa" w:w="120"/>
            </w:tcMar>
          </w:tcPr>
          <w:p>
            <w:r>
              <w:rPr>
                <w:rFonts w:ascii="Arial" w:cs="Arial" w:eastAsia="Arial" w:hAnsi="Arial"/>
                <w:b/>
                <w:bCs/>
                <w:color w:val="1A6B3C"/>
                <w:sz w:val="21"/>
                <w:szCs w:val="21"/>
              </w:rPr>
              <w:t xml:space="preserve">Advantages of Single-File Approach</w:t>
            </w:r>
          </w:p>
          <w:p>
            <w:pPr>
              <w:pStyle w:val="ListParagraph"/>
              <w:numPr>
                <w:ilvl w:val="0"/>
                <w:numId w:val="2"/>
              </w:numPr>
              <w:spacing w:after="60"/>
            </w:pPr>
            <w:r>
              <w:rPr>
                <w:rFonts w:ascii="Arial" w:cs="Arial" w:eastAsia="Arial" w:hAnsi="Arial"/>
                <w:sz w:val="20"/>
                <w:szCs w:val="20"/>
              </w:rPr>
              <w:t xml:space="preserve">Zero infrastructure: no server, no database, no deployment pipeline</w:t>
            </w:r>
          </w:p>
          <w:p>
            <w:pPr>
              <w:pStyle w:val="ListParagraph"/>
              <w:numPr>
                <w:ilvl w:val="0"/>
                <w:numId w:val="2"/>
              </w:numPr>
              <w:spacing w:after="60"/>
            </w:pPr>
            <w:r>
              <w:rPr>
                <w:rFonts w:ascii="Arial" w:cs="Arial" w:eastAsia="Arial" w:hAnsi="Arial"/>
                <w:sz w:val="20"/>
                <w:szCs w:val="20"/>
              </w:rPr>
              <w:t xml:space="preserve">Complete portability: email the file, open in any browser</w:t>
            </w:r>
          </w:p>
          <w:p>
            <w:pPr>
              <w:pStyle w:val="ListParagraph"/>
              <w:numPr>
                <w:ilvl w:val="0"/>
                <w:numId w:val="2"/>
              </w:numPr>
              <w:spacing w:after="60"/>
            </w:pPr>
            <w:r>
              <w:rPr>
                <w:rFonts w:ascii="Arial" w:cs="Arial" w:eastAsia="Arial" w:hAnsi="Arial"/>
                <w:sz w:val="20"/>
                <w:szCs w:val="20"/>
              </w:rPr>
              <w:t xml:space="preserve">No supply-chain risk from npm/CDN dependencies</w:t>
            </w:r>
          </w:p>
          <w:p>
            <w:pPr>
              <w:pStyle w:val="ListParagraph"/>
              <w:numPr>
                <w:ilvl w:val="0"/>
                <w:numId w:val="2"/>
              </w:numPr>
              <w:spacing w:after="60"/>
            </w:pPr>
            <w:r>
              <w:rPr>
                <w:rFonts w:ascii="Arial" w:cs="Arial" w:eastAsia="Arial" w:hAnsi="Arial"/>
                <w:sz w:val="20"/>
                <w:szCs w:val="20"/>
              </w:rPr>
              <w:t xml:space="preserve">The data and logic are fully auditable in one place</w:t>
            </w:r>
          </w:p>
        </w:tc>
        <w:tc>
          <w:tcPr>
            <w:tcW w:type="dxa" w:w="4680"/>
            <w:tcBorders>
              <w:top w:val="single" w:color="E5DDD0" w:sz="1"/>
              <w:left w:val="single" w:color="E5DDD0" w:sz="1"/>
              <w:bottom w:val="single" w:color="E5DDD0" w:sz="1"/>
              <w:right w:val="single" w:color="E5DDD0" w:sz="1"/>
            </w:tcBorders>
            <w:shd w:fill="FBF7F0" w:val="clear"/>
            <w:tcMar>
              <w:top w:type="dxa" w:w="80"/>
              <w:left w:type="dxa" w:w="120"/>
              <w:bottom w:type="dxa" w:w="80"/>
              <w:right w:type="dxa" w:w="120"/>
            </w:tcMar>
          </w:tcPr>
          <w:p>
            <w:r>
              <w:rPr>
                <w:rFonts w:ascii="Arial" w:cs="Arial" w:eastAsia="Arial" w:hAnsi="Arial"/>
                <w:b/>
                <w:bCs/>
                <w:color w:val="8B1D2F"/>
                <w:sz w:val="21"/>
                <w:szCs w:val="21"/>
              </w:rPr>
              <w:t xml:space="preserve">Disadvantages &amp; Risks</w:t>
            </w:r>
          </w:p>
          <w:p>
            <w:pPr>
              <w:pStyle w:val="ListParagraph"/>
              <w:numPr>
                <w:ilvl w:val="0"/>
                <w:numId w:val="2"/>
              </w:numPr>
              <w:spacing w:after="60"/>
            </w:pPr>
            <w:r>
              <w:rPr>
                <w:rFonts w:ascii="Arial" w:cs="Arial" w:eastAsia="Arial" w:hAnsi="Arial"/>
                <w:sz w:val="20"/>
                <w:szCs w:val="20"/>
              </w:rPr>
              <w:t xml:space="preserve">API key visible in browser developer tools (by design, user's own key)</w:t>
            </w:r>
          </w:p>
          <w:p>
            <w:pPr>
              <w:pStyle w:val="ListParagraph"/>
              <w:numPr>
                <w:ilvl w:val="0"/>
                <w:numId w:val="2"/>
              </w:numPr>
              <w:spacing w:after="60"/>
            </w:pPr>
            <w:r>
              <w:rPr>
                <w:rFonts w:ascii="Arial" w:cs="Arial" w:eastAsia="Arial" w:hAnsi="Arial"/>
                <w:sz w:val="20"/>
                <w:szCs w:val="20"/>
              </w:rPr>
              <w:t xml:space="preserve">1,860-line monolith becomes hard to maintain after ~2,000 lines</w:t>
            </w:r>
          </w:p>
          <w:p>
            <w:pPr>
              <w:pStyle w:val="ListParagraph"/>
              <w:numPr>
                <w:ilvl w:val="0"/>
                <w:numId w:val="2"/>
              </w:numPr>
              <w:spacing w:after="60"/>
            </w:pPr>
            <w:r>
              <w:rPr>
                <w:rFonts w:ascii="Arial" w:cs="Arial" w:eastAsia="Arial" w:hAnsi="Arial"/>
                <w:sz w:val="20"/>
                <w:szCs w:val="20"/>
              </w:rPr>
              <w:t xml:space="preserve">No server-side caching: each identical query re-costs API tokens</w:t>
            </w:r>
          </w:p>
          <w:p>
            <w:pPr>
              <w:pStyle w:val="ListParagraph"/>
              <w:numPr>
                <w:ilvl w:val="0"/>
                <w:numId w:val="2"/>
              </w:numPr>
              <w:spacing w:after="60"/>
            </w:pPr>
            <w:r>
              <w:rPr>
                <w:rFonts w:ascii="Arial" w:cs="Arial" w:eastAsia="Arial" w:hAnsi="Arial"/>
                <w:sz w:val="20"/>
                <w:szCs w:val="20"/>
              </w:rPr>
              <w:t xml:space="preserve">No multi-user collaboration or shared analysis history</w:t>
            </w:r>
          </w:p>
        </w:tc>
      </w:tr>
    </w:tbl>
    <w:p>
      <w:pPr>
        <w:spacing w:after="140"/>
      </w:pPr>
    </w:p>
    <w:p>
      <w:pPr>
        <w:pStyle w:val="Heading2"/>
        <w:spacing w:before="300" w:after="120"/>
      </w:pPr>
      <w:r>
        <w:rPr>
          <w:rFonts w:ascii="Arial" w:cs="Arial" w:eastAsia="Arial" w:hAnsi="Arial"/>
          <w:b/>
          <w:bCs/>
          <w:color w:val="0C0F18"/>
          <w:sz w:val="28"/>
          <w:szCs w:val="28"/>
        </w:rPr>
        <w:t xml:space="preserve">3.2 Code Quality Assessment</w:t>
      </w:r>
    </w:p>
    <w:p>
      <w:pPr>
        <w:pStyle w:val="ListParagraph"/>
        <w:numPr>
          <w:ilvl w:val="0"/>
          <w:numId w:val="2"/>
        </w:numPr>
        <w:spacing w:after="80"/>
      </w:pPr>
      <w:r>
        <w:rPr>
          <w:rFonts w:ascii="Arial" w:cs="Arial" w:eastAsia="Arial" w:hAnsi="Arial"/>
          <w:b/>
          <w:bCs/>
          <w:color w:val="0C0F18"/>
          <w:sz w:val="21"/>
          <w:szCs w:val="21"/>
        </w:rPr>
        <w:t xml:space="preserve">CSS design tokens (--ink, --paper, --gold, --red, etc.) are well-defined and consistently applied. The warm parchment palette is distinctive and professional.</w:t>
      </w:r>
    </w:p>
    <w:p>
      <w:pPr>
        <w:pStyle w:val="ListParagraph"/>
        <w:numPr>
          <w:ilvl w:val="0"/>
          <w:numId w:val="2"/>
        </w:numPr>
        <w:spacing w:after="80"/>
      </w:pPr>
      <w:r>
        <w:rPr>
          <w:rFonts w:ascii="Arial" w:cs="Arial" w:eastAsia="Arial" w:hAnsi="Arial"/>
          <w:b w:val="false"/>
          <w:bCs w:val="false"/>
          <w:color w:val="0C0F18"/>
          <w:sz w:val="21"/>
          <w:szCs w:val="21"/>
        </w:rPr>
        <w:t xml:space="preserve">Responsive CSS with three breakpoints (1100px, 920px, 640px) is present and functional.</w:t>
      </w:r>
    </w:p>
    <w:p>
      <w:pPr>
        <w:pStyle w:val="ListParagraph"/>
        <w:numPr>
          <w:ilvl w:val="0"/>
          <w:numId w:val="2"/>
        </w:numPr>
        <w:spacing w:after="80"/>
      </w:pPr>
      <w:r>
        <w:rPr>
          <w:rFonts w:ascii="Arial" w:cs="Arial" w:eastAsia="Arial" w:hAnsi="Arial"/>
          <w:b w:val="false"/>
          <w:bCs w:val="false"/>
          <w:color w:val="0C0F18"/>
          <w:sz w:val="21"/>
          <w:szCs w:val="21"/>
        </w:rPr>
        <w:t xml:space="preserve">JavaScript state management is handled via a single S object — appropriate for this scale, avoids prop-drilling without over-engineering.</w:t>
      </w:r>
    </w:p>
    <w:p>
      <w:pPr>
        <w:pStyle w:val="ListParagraph"/>
        <w:numPr>
          <w:ilvl w:val="0"/>
          <w:numId w:val="2"/>
        </w:numPr>
        <w:spacing w:after="80"/>
      </w:pPr>
      <w:r>
        <w:rPr>
          <w:rFonts w:ascii="Arial" w:cs="Arial" w:eastAsia="Arial" w:hAnsi="Arial"/>
          <w:b w:val="false"/>
          <w:bCs w:val="false"/>
          <w:color w:val="0C0F18"/>
          <w:sz w:val="21"/>
          <w:szCs w:val="21"/>
        </w:rPr>
        <w:t xml:space="preserve">XSS protection via esc() function is implemented consistently on all AI-generated output that enters innerHTML.</w:t>
      </w:r>
    </w:p>
    <w:p>
      <w:pPr>
        <w:pStyle w:val="ListParagraph"/>
        <w:numPr>
          <w:ilvl w:val="0"/>
          <w:numId w:val="2"/>
        </w:numPr>
        <w:spacing w:after="80"/>
      </w:pPr>
      <w:r>
        <w:rPr>
          <w:rFonts w:ascii="Arial" w:cs="Arial" w:eastAsia="Arial" w:hAnsi="Arial"/>
          <w:b w:val="false"/>
          <w:bCs w:val="false"/>
          <w:color w:val="0C0F18"/>
          <w:sz w:val="21"/>
          <w:szCs w:val="21"/>
        </w:rPr>
        <w:t xml:space="preserve">Abort controller for in-flight API requests is correctly implemented, including cleanup on cancel.</w:t>
      </w:r>
    </w:p>
    <w:p>
      <w:pPr>
        <w:pStyle w:val="ListParagraph"/>
        <w:numPr>
          <w:ilvl w:val="0"/>
          <w:numId w:val="2"/>
        </w:numPr>
        <w:spacing w:after="80"/>
      </w:pPr>
      <w:r>
        <w:rPr>
          <w:rFonts w:ascii="Arial" w:cs="Arial" w:eastAsia="Arial" w:hAnsi="Arial"/>
          <w:b w:val="false"/>
          <w:bCs w:val="false"/>
          <w:color w:val="0C0F18"/>
          <w:sz w:val="21"/>
          <w:szCs w:val="21"/>
        </w:rPr>
        <w:t xml:space="preserve">The 4-pass JSON parser (strip fences → direct parse → extract braces → fix trailing commas) is production-grade error handling for LLM JSON output.</w:t>
      </w:r>
    </w:p>
    <w:p>
      <w:pPr>
        <w:pStyle w:val="ListParagraph"/>
        <w:numPr>
          <w:ilvl w:val="0"/>
          <w:numId w:val="2"/>
        </w:numPr>
        <w:spacing w:after="80"/>
      </w:pPr>
      <w:r>
        <w:rPr>
          <w:rFonts w:ascii="Arial" w:cs="Arial" w:eastAsia="Arial" w:hAnsi="Arial"/>
          <w:b w:val="false"/>
          <w:bCs w:val="false"/>
          <w:color w:val="0C0F18"/>
          <w:sz w:val="21"/>
          <w:szCs w:val="21"/>
        </w:rPr>
        <w:t xml:space="preserve">Session storage is used to persist the last analysis across page refreshes. This is correct — session-scoped not persistent, avoiding stale data issues.</w:t>
      </w:r>
    </w:p>
    <w:p>
      <w:pPr>
        <w:pStyle w:val="Heading2"/>
        <w:spacing w:before="300" w:after="120"/>
      </w:pPr>
      <w:r>
        <w:rPr>
          <w:rFonts w:ascii="Arial" w:cs="Arial" w:eastAsia="Arial" w:hAnsi="Arial"/>
          <w:b/>
          <w:bCs/>
          <w:color w:val="0C0F18"/>
          <w:sz w:val="28"/>
          <w:szCs w:val="28"/>
        </w:rPr>
        <w:t xml:space="preserve">3.3 Identified Bugs &amp; Regressions</w:t>
      </w:r>
    </w:p>
    <w:p>
      <w:pPr>
        <w:pStyle w:val="Normal"/>
        <w:spacing w:after="140"/>
      </w:pPr>
      <w:r>
        <w:rPr>
          <w:rFonts w:ascii="Arial" w:cs="Arial" w:eastAsia="Arial" w:hAnsi="Arial"/>
          <w:color w:val="0C0F18"/>
          <w:sz w:val="22"/>
          <w:szCs w:val="22"/>
        </w:rPr>
        <w:t xml:space="preserve">Three confirmed issues were found during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6880"/>
      </w:tblGrid>
      <w:tr>
        <w:tc>
          <w:tcPr>
            <w:tcW w:type="dxa" w:w="480"/>
            <w:tcBorders>
              <w:top w:val="single" w:color="E5DDD0" w:sz="1"/>
              <w:left w:val="single" w:color="E5DDD0" w:sz="1"/>
              <w:bottom w:val="single" w:color="E5DDD0" w:sz="1"/>
              <w:right w:val="single" w:color="E5DDD0" w:sz="1"/>
            </w:tcBorders>
            <w:shd w:fill="FDF0F0" w:val="clear"/>
            <w:tcMar>
              <w:top w:type="dxa" w:w="80"/>
              <w:left w:type="dxa" w:w="100"/>
              <w:bottom w:type="dxa" w:w="80"/>
              <w:right w:type="dxa" w:w="80"/>
            </w:tcMar>
            <w:vAlign w:val="top"/>
          </w:tcPr>
          <w:p>
            <w:pPr>
              <w:jc w:val="center"/>
            </w:pPr>
            <w:r>
              <w:rPr>
                <w:rFonts w:ascii="Arial" w:cs="Arial" w:eastAsia="Arial" w:hAnsi="Arial"/>
                <w:sz w:val="26"/>
                <w:szCs w:val="26"/>
              </w:rPr>
              <w:t xml:space="preserve">!</w:t>
            </w:r>
          </w:p>
        </w:tc>
        <w:tc>
          <w:tcPr>
            <w:tcW w:type="dxa" w:w="2000"/>
            <w:tcBorders>
              <w:top w:val="single" w:color="E5DDD0" w:sz="1"/>
              <w:left w:val="single" w:color="E5DDD0" w:sz="1"/>
              <w:bottom w:val="single" w:color="E5DDD0" w:sz="1"/>
              <w:right w:val="single" w:color="E5DDD0" w:sz="1"/>
            </w:tcBorders>
            <w:shd w:fill="FDF0F0" w:val="clear"/>
            <w:tcMar>
              <w:top w:type="dxa" w:w="80"/>
              <w:left w:type="dxa" w:w="120"/>
              <w:bottom w:type="dxa" w:w="80"/>
              <w:right w:type="dxa" w:w="80"/>
            </w:tcMar>
          </w:tcPr>
          <w:p>
            <w:r>
              <w:rPr>
                <w:rFonts w:ascii="Arial" w:cs="Arial" w:eastAsia="Arial" w:hAnsi="Arial"/>
                <w:b/>
                <w:bCs/>
                <w:color w:val="8B1D2F"/>
                <w:sz w:val="21"/>
                <w:szCs w:val="21"/>
              </w:rPr>
              <w:t xml:space="preserve">Mock Icon Regression</w:t>
            </w:r>
          </w:p>
          <w:p>
            <w:r>
              <w:rPr>
                <w:rFonts w:ascii="Arial" w:cs="Arial" w:eastAsia="Arial" w:hAnsi="Arial"/>
                <w:b/>
                <w:bCs/>
                <w:color w:val="8B1D2F"/>
                <w:sz w:val="17"/>
                <w:szCs w:val="17"/>
              </w:rPr>
              <w:t xml:space="preserve">High</w:t>
            </w:r>
          </w:p>
        </w:tc>
        <w:tc>
          <w:tcPr>
            <w:tcW w:type="dxa" w:w="6880"/>
            <w:tcBorders>
              <w:top w:val="single" w:color="E5DDD0" w:sz="1"/>
              <w:left w:val="single" w:color="E5DDD0" w:sz="1"/>
              <w:bottom w:val="single" w:color="E5DDD0" w:sz="1"/>
              <w:right w:val="single" w:color="E5DDD0" w:sz="1"/>
            </w:tcBorders>
            <w:shd w:fill="FDF0F0" w:val="clear"/>
            <w:tcMar>
              <w:top w:type="dxa" w:w="80"/>
              <w:left w:type="dxa" w:w="120"/>
              <w:bottom w:type="dxa" w:w="80"/>
              <w:right w:type="dxa" w:w="120"/>
            </w:tcMar>
          </w:tcPr>
          <w:p>
            <w:r>
              <w:rPr>
                <w:rFonts w:ascii="Arial" w:cs="Arial" w:eastAsia="Arial" w:hAnsi="Arial"/>
                <w:color w:val="0C0F18"/>
                <w:sz w:val="20"/>
                <w:szCs w:val="20"/>
              </w:rPr>
              <w:t xml:space="preserve">During the mock data rebuild to fix the mobile Safari script error, all emoji icons in the mock result were replaced with plain text strings (e.g., 'fish', 'truck', 'barrel'). This breaks the profession cards and industry cards visually in demo mode, rendering text where icons should appear.</w:t>
            </w:r>
          </w:p>
        </w:tc>
      </w:tr>
      <w:tr>
        <w:tc>
          <w:tcPr>
            <w:tcW w:type="dxa" w:w="480"/>
            <w:tcBorders>
              <w:top w:val="single" w:color="E5DDD0" w:sz="1"/>
              <w:left w:val="single" w:color="E5DDD0" w:sz="1"/>
              <w:bottom w:val="single" w:color="E5DDD0" w:sz="1"/>
              <w:right w:val="single" w:color="E5DDD0" w:sz="1"/>
            </w:tcBorders>
            <w:shd w:fill="FDF5EE" w:val="clear"/>
            <w:tcMar>
              <w:top w:type="dxa" w:w="80"/>
              <w:left w:type="dxa" w:w="100"/>
              <w:bottom w:type="dxa" w:w="80"/>
              <w:right w:type="dxa" w:w="80"/>
            </w:tcMar>
            <w:vAlign w:val="top"/>
          </w:tcPr>
          <w:p>
            <w:pPr>
              <w:jc w:val="center"/>
            </w:pPr>
            <w:r>
              <w:rPr>
                <w:rFonts w:ascii="Arial" w:cs="Arial" w:eastAsia="Arial" w:hAnsi="Arial"/>
                <w:sz w:val="26"/>
                <w:szCs w:val="26"/>
              </w:rPr>
              <w:t xml:space="preserve">~</w:t>
            </w:r>
          </w:p>
        </w:tc>
        <w:tc>
          <w:tcPr>
            <w:tcW w:type="dxa" w:w="2000"/>
            <w:tcBorders>
              <w:top w:val="single" w:color="E5DDD0" w:sz="1"/>
              <w:left w:val="single" w:color="E5DDD0" w:sz="1"/>
              <w:bottom w:val="single" w:color="E5DDD0" w:sz="1"/>
              <w:right w:val="single" w:color="E5DDD0" w:sz="1"/>
            </w:tcBorders>
            <w:shd w:fill="FDF5EE" w:val="clear"/>
            <w:tcMar>
              <w:top w:type="dxa" w:w="80"/>
              <w:left w:type="dxa" w:w="120"/>
              <w:bottom w:type="dxa" w:w="80"/>
              <w:right w:type="dxa" w:w="80"/>
            </w:tcMar>
          </w:tcPr>
          <w:p>
            <w:r>
              <w:rPr>
                <w:rFonts w:ascii="Arial" w:cs="Arial" w:eastAsia="Arial" w:hAnsi="Arial"/>
                <w:b/>
                <w:bCs/>
                <w:color w:val="B84C1A"/>
                <w:sz w:val="21"/>
                <w:szCs w:val="21"/>
              </w:rPr>
              <w:t xml:space="preserve">Compare Feature Incomplete</w:t>
            </w:r>
          </w:p>
          <w:p>
            <w:r>
              <w:rPr>
                <w:rFonts w:ascii="Arial" w:cs="Arial" w:eastAsia="Arial" w:hAnsi="Arial"/>
                <w:b/>
                <w:bCs/>
                <w:color w:val="B84C1A"/>
                <w:sz w:val="17"/>
                <w:szCs w:val="17"/>
              </w:rPr>
              <w:t xml:space="preserve">Medium</w:t>
            </w:r>
          </w:p>
        </w:tc>
        <w:tc>
          <w:tcPr>
            <w:tcW w:type="dxa" w:w="6880"/>
            <w:tcBorders>
              <w:top w:val="single" w:color="E5DDD0" w:sz="1"/>
              <w:left w:val="single" w:color="E5DDD0" w:sz="1"/>
              <w:bottom w:val="single" w:color="E5DDD0" w:sz="1"/>
              <w:right w:val="single" w:color="E5DDD0" w:sz="1"/>
            </w:tcBorders>
            <w:shd w:fill="FDF5EE" w:val="clear"/>
            <w:tcMar>
              <w:top w:type="dxa" w:w="80"/>
              <w:left w:type="dxa" w:w="120"/>
              <w:bottom w:type="dxa" w:w="80"/>
              <w:right w:type="dxa" w:w="120"/>
            </w:tcMar>
          </w:tcPr>
          <w:p>
            <w:r>
              <w:rPr>
                <w:rFonts w:ascii="Arial" w:cs="Arial" w:eastAsia="Arial" w:hAnsi="Arial"/>
                <w:color w:val="0C0F18"/>
                <w:sz w:val="20"/>
                <w:szCs w:val="20"/>
              </w:rPr>
              <w:t xml:space="preserve">The event comparison checkboxes appear when Compare mode is toggled on, and runCompare() correctly uses mock data, but the comparison output rendering (renderCompare function) is present in code but has not been fully tested end-to-end. The resulting table may render with misaligned columns on mobile.</w:t>
            </w:r>
          </w:p>
        </w:tc>
      </w:tr>
      <w:tr>
        <w:tc>
          <w:tcPr>
            <w:tcW w:type="dxa" w:w="480"/>
            <w:tcBorders>
              <w:top w:val="single" w:color="E5DDD0" w:sz="1"/>
              <w:left w:val="single" w:color="E5DDD0" w:sz="1"/>
              <w:bottom w:val="single" w:color="E5DDD0" w:sz="1"/>
              <w:right w:val="single" w:color="E5DDD0" w:sz="1"/>
            </w:tcBorders>
            <w:shd w:fill="EEF7F1" w:val="clear"/>
            <w:tcMar>
              <w:top w:type="dxa" w:w="80"/>
              <w:left w:type="dxa" w:w="100"/>
              <w:bottom w:type="dxa" w:w="80"/>
              <w:right w:type="dxa" w:w="80"/>
            </w:tcMar>
            <w:vAlign w:val="top"/>
          </w:tcPr>
          <w:p>
            <w:pPr>
              <w:jc w:val="center"/>
            </w:pPr>
            <w:r>
              <w:rPr>
                <w:rFonts w:ascii="Arial" w:cs="Arial" w:eastAsia="Arial" w:hAnsi="Arial"/>
                <w:sz w:val="26"/>
                <w:szCs w:val="26"/>
              </w:rPr>
              <w:t xml:space="preserve">i</w:t>
            </w:r>
          </w:p>
        </w:tc>
        <w:tc>
          <w:tcPr>
            <w:tcW w:type="dxa" w:w="2000"/>
            <w:tcBorders>
              <w:top w:val="single" w:color="E5DDD0" w:sz="1"/>
              <w:left w:val="single" w:color="E5DDD0" w:sz="1"/>
              <w:bottom w:val="single" w:color="E5DDD0" w:sz="1"/>
              <w:right w:val="single" w:color="E5DDD0" w:sz="1"/>
            </w:tcBorders>
            <w:shd w:fill="EEF7F1" w:val="clear"/>
            <w:tcMar>
              <w:top w:type="dxa" w:w="80"/>
              <w:left w:type="dxa" w:w="120"/>
              <w:bottom w:type="dxa" w:w="80"/>
              <w:right w:type="dxa" w:w="80"/>
            </w:tcMar>
          </w:tcPr>
          <w:p>
            <w:r>
              <w:rPr>
                <w:rFonts w:ascii="Arial" w:cs="Arial" w:eastAsia="Arial" w:hAnsi="Arial"/>
                <w:b/>
                <w:bCs/>
                <w:color w:val="1A6B3C"/>
                <w:sz w:val="21"/>
                <w:szCs w:val="21"/>
              </w:rPr>
              <w:t xml:space="preserve">Impact Score Scale Unexplained</w:t>
            </w:r>
          </w:p>
          <w:p>
            <w:r>
              <w:rPr>
                <w:rFonts w:ascii="Arial" w:cs="Arial" w:eastAsia="Arial" w:hAnsi="Arial"/>
                <w:b/>
                <w:bCs/>
                <w:color w:val="1A6B3C"/>
                <w:sz w:val="17"/>
                <w:szCs w:val="17"/>
              </w:rPr>
              <w:t xml:space="preserve">Low</w:t>
            </w:r>
          </w:p>
        </w:tc>
        <w:tc>
          <w:tcPr>
            <w:tcW w:type="dxa" w:w="6880"/>
            <w:tcBorders>
              <w:top w:val="single" w:color="E5DDD0" w:sz="1"/>
              <w:left w:val="single" w:color="E5DDD0" w:sz="1"/>
              <w:bottom w:val="single" w:color="E5DDD0" w:sz="1"/>
              <w:right w:val="single" w:color="E5DDD0" w:sz="1"/>
            </w:tcBorders>
            <w:shd w:fill="EEF7F1" w:val="clear"/>
            <w:tcMar>
              <w:top w:type="dxa" w:w="80"/>
              <w:left w:type="dxa" w:w="120"/>
              <w:bottom w:type="dxa" w:w="80"/>
              <w:right w:type="dxa" w:w="120"/>
            </w:tcMar>
          </w:tcPr>
          <w:p>
            <w:r>
              <w:rPr>
                <w:rFonts w:ascii="Arial" w:cs="Arial" w:eastAsia="Arial" w:hAnsi="Arial"/>
                <w:color w:val="0C0F18"/>
                <w:sz w:val="20"/>
                <w:szCs w:val="20"/>
              </w:rPr>
              <w:t xml:space="preserve">The -100 to +100 impact score is shown prominently but never explained in the UI. Users have no way to know what score -78 means in absolute terms, or how scores are calibrated between events.</w:t>
            </w:r>
          </w:p>
        </w:tc>
      </w:tr>
    </w:tbl>
    <w:p>
      <w:pPr>
        <w:spacing w:after="140"/>
      </w:pPr>
    </w:p>
    <w:p>
      <w:pPr>
        <w:pStyle w:val="Heading2"/>
        <w:spacing w:before="300" w:after="120"/>
      </w:pPr>
      <w:r>
        <w:rPr>
          <w:rFonts w:ascii="Arial" w:cs="Arial" w:eastAsia="Arial" w:hAnsi="Arial"/>
          <w:b/>
          <w:bCs/>
          <w:color w:val="0C0F18"/>
          <w:sz w:val="28"/>
          <w:szCs w:val="28"/>
        </w:rPr>
        <w:t xml:space="preserve">3.4 Performance</w:t>
      </w:r>
    </w:p>
    <w:p>
      <w:pPr>
        <w:pStyle w:val="Normal"/>
        <w:spacing w:after="140"/>
      </w:pPr>
      <w:r>
        <w:rPr>
          <w:rFonts w:ascii="Arial" w:cs="Arial" w:eastAsia="Arial" w:hAnsi="Arial"/>
          <w:color w:val="0C0F18"/>
          <w:sz w:val="22"/>
          <w:szCs w:val="22"/>
        </w:rPr>
        <w:t xml:space="preserve">The application performs well for its use case. Load time is dominated by Google Fonts (3 font families, deferred with preconnect). The mock analysis renders in ~3 seconds with simulated loading steps. The AI analysis call typically returns in 8–15 seconds for the full structured output, which is acceptable given the analysis depth. Bar animations use requestAnimationFrame correctly to avoid layout thrashing.</w:t>
      </w:r>
    </w:p>
    <w:p>
      <w:pPr>
        <w:pBdr>
          <w:bottom w:val="single" w:color="CCCCCC" w:sz="4" w:space="1"/>
        </w:pBdr>
        <w:spacing w:before="160" w:after="160"/>
      </w:pPr>
    </w:p>
    <w:p>
      <w:pPr>
        <w:pStyle w:val="Heading1"/>
        <w:spacing w:before="300" w:after="120"/>
      </w:pPr>
      <w:r>
        <w:rPr>
          <w:rFonts w:ascii="Arial" w:cs="Arial" w:eastAsia="Arial" w:hAnsi="Arial"/>
          <w:b/>
          <w:bCs/>
          <w:color w:val="0C0F18"/>
          <w:sz w:val="36"/>
          <w:szCs w:val="36"/>
        </w:rPr>
        <w:t xml:space="preserve">4. UX and Design Review</w:t>
      </w:r>
    </w:p>
    <w:p>
      <w:pPr>
        <w:pStyle w:val="Heading2"/>
        <w:spacing w:before="300" w:after="120"/>
      </w:pPr>
      <w:r>
        <w:rPr>
          <w:rFonts w:ascii="Arial" w:cs="Arial" w:eastAsia="Arial" w:hAnsi="Arial"/>
          <w:b/>
          <w:bCs/>
          <w:color w:val="0C0F18"/>
          <w:sz w:val="28"/>
          <w:szCs w:val="28"/>
        </w:rPr>
        <w:t xml:space="preserve">4.1 Information Architecture</w:t>
      </w:r>
    </w:p>
    <w:p>
      <w:pPr>
        <w:pStyle w:val="Normal"/>
        <w:spacing w:after="140"/>
      </w:pPr>
      <w:r>
        <w:rPr>
          <w:rFonts w:ascii="Arial" w:cs="Arial" w:eastAsia="Arial" w:hAnsi="Arial"/>
          <w:color w:val="0C0F18"/>
          <w:sz w:val="22"/>
          <w:szCs w:val="22"/>
        </w:rPr>
        <w:t xml:space="preserve">The 5-tab output structure (Overview / Professions / Industries / Timeline / Actions) is the application's strongest UX decision. It maps directly to how different user types consume information:</w:t>
      </w:r>
    </w:p>
    <w:p>
      <w:pPr>
        <w:pStyle w:val="ListParagraph"/>
        <w:numPr>
          <w:ilvl w:val="0"/>
          <w:numId w:val="2"/>
        </w:numPr>
        <w:spacing w:after="80"/>
      </w:pPr>
      <w:r>
        <w:rPr>
          <w:rFonts w:ascii="Arial" w:cs="Arial" w:eastAsia="Arial" w:hAnsi="Arial"/>
          <w:b w:val="false"/>
          <w:bCs w:val="false"/>
          <w:color w:val="0C0F18"/>
          <w:sz w:val="21"/>
          <w:szCs w:val="21"/>
        </w:rPr>
        <w:t xml:space="preserve">Policy researchers use Overview for the headline analysis and wage impact table</w:t>
      </w:r>
    </w:p>
    <w:p>
      <w:pPr>
        <w:pStyle w:val="ListParagraph"/>
        <w:numPr>
          <w:ilvl w:val="0"/>
          <w:numId w:val="2"/>
        </w:numPr>
        <w:spacing w:after="80"/>
      </w:pPr>
      <w:r>
        <w:rPr>
          <w:rFonts w:ascii="Arial" w:cs="Arial" w:eastAsia="Arial" w:hAnsi="Arial"/>
          <w:b w:val="false"/>
          <w:bCs w:val="false"/>
          <w:color w:val="0C0F18"/>
          <w:sz w:val="21"/>
          <w:szCs w:val="21"/>
        </w:rPr>
        <w:t xml:space="preserve">HR analysts use Professions with the filter (Critical/High/Positive) to triage their workforce</w:t>
      </w:r>
    </w:p>
    <w:p>
      <w:pPr>
        <w:pStyle w:val="ListParagraph"/>
        <w:numPr>
          <w:ilvl w:val="0"/>
          <w:numId w:val="2"/>
        </w:numPr>
        <w:spacing w:after="80"/>
      </w:pPr>
      <w:r>
        <w:rPr>
          <w:rFonts w:ascii="Arial" w:cs="Arial" w:eastAsia="Arial" w:hAnsi="Arial"/>
          <w:b w:val="false"/>
          <w:bCs w:val="false"/>
          <w:color w:val="0C0F18"/>
          <w:sz w:val="21"/>
          <w:szCs w:val="21"/>
        </w:rPr>
        <w:t xml:space="preserve">Sector analysts use Industries for the GDP share and sub-occupation breakdown</w:t>
      </w:r>
    </w:p>
    <w:p>
      <w:pPr>
        <w:pStyle w:val="ListParagraph"/>
        <w:numPr>
          <w:ilvl w:val="0"/>
          <w:numId w:val="2"/>
        </w:numPr>
        <w:spacing w:after="80"/>
      </w:pPr>
      <w:r>
        <w:rPr>
          <w:rFonts w:ascii="Arial" w:cs="Arial" w:eastAsia="Arial" w:hAnsi="Arial"/>
          <w:b w:val="false"/>
          <w:bCs w:val="false"/>
          <w:color w:val="0C0F18"/>
          <w:sz w:val="21"/>
          <w:szCs w:val="21"/>
        </w:rPr>
        <w:t xml:space="preserve">Communications teams use Timeline for phased narrative</w:t>
      </w:r>
    </w:p>
    <w:p>
      <w:pPr>
        <w:pStyle w:val="ListParagraph"/>
        <w:numPr>
          <w:ilvl w:val="0"/>
          <w:numId w:val="2"/>
        </w:numPr>
        <w:spacing w:after="80"/>
      </w:pPr>
      <w:r>
        <w:rPr>
          <w:rFonts w:ascii="Arial" w:cs="Arial" w:eastAsia="Arial" w:hAnsi="Arial"/>
          <w:b w:val="false"/>
          <w:bCs w:val="false"/>
          <w:color w:val="0C0F18"/>
          <w:sz w:val="21"/>
          <w:szCs w:val="21"/>
        </w:rPr>
        <w:t xml:space="preserve">Operations teams use Actions for the Government/Business/Workers action plan</w:t>
      </w:r>
    </w:p>
    <w:p>
      <w:pPr>
        <w:pStyle w:val="Normal"/>
        <w:spacing w:after="140"/>
      </w:pPr>
      <w:r>
        <w:rPr>
          <w:rFonts w:ascii="Arial" w:cs="Arial" w:eastAsia="Arial" w:hAnsi="Arial"/>
          <w:color w:val="0C0F18"/>
          <w:sz w:val="22"/>
          <w:szCs w:val="22"/>
        </w:rPr>
        <w:t xml:space="preserve">This is not an accidental UX structure — it reflects genuine understanding of how labour market intelligence gets used.</w:t>
      </w:r>
    </w:p>
    <w:p>
      <w:pPr>
        <w:pStyle w:val="Heading2"/>
        <w:spacing w:before="300" w:after="120"/>
      </w:pPr>
      <w:r>
        <w:rPr>
          <w:rFonts w:ascii="Arial" w:cs="Arial" w:eastAsia="Arial" w:hAnsi="Arial"/>
          <w:b/>
          <w:bCs/>
          <w:color w:val="0C0F18"/>
          <w:sz w:val="28"/>
          <w:szCs w:val="28"/>
        </w:rPr>
        <w:t xml:space="preserve">4.2 Visual Design</w:t>
      </w:r>
    </w:p>
    <w:p>
      <w:pPr>
        <w:pStyle w:val="Normal"/>
        <w:spacing w:after="140"/>
      </w:pPr>
      <w:r>
        <w:rPr>
          <w:rFonts w:ascii="Arial" w:cs="Arial" w:eastAsia="Arial" w:hAnsi="Arial"/>
          <w:b w:val="false"/>
          <w:bCs w:val="false"/>
          <w:i w:val="false"/>
          <w:iCs w:val="false"/>
          <w:color w:val="0C0F18"/>
          <w:sz w:val="22"/>
          <w:szCs w:val="22"/>
        </w:rPr>
        <w:t xml:space="preserve">The warm parchment palette (</w:t>
      </w:r>
      <w:r>
        <w:rPr>
          <w:rFonts w:ascii="Arial" w:cs="Arial" w:eastAsia="Arial" w:hAnsi="Arial"/>
          <w:b/>
          <w:bCs/>
          <w:i w:val="false"/>
          <w:iCs w:val="false"/>
          <w:color w:val="0C0F18"/>
          <w:sz w:val="22"/>
          <w:szCs w:val="22"/>
        </w:rPr>
        <w:t xml:space="preserve">--paper: #F3EDE1</w:t>
      </w:r>
      <w:r>
        <w:rPr>
          <w:rFonts w:ascii="Arial" w:cs="Arial" w:eastAsia="Arial" w:hAnsi="Arial"/>
          <w:b w:val="false"/>
          <w:bCs w:val="false"/>
          <w:i w:val="false"/>
          <w:iCs w:val="false"/>
          <w:color w:val="0C0F18"/>
          <w:sz w:val="22"/>
          <w:szCs w:val="22"/>
        </w:rPr>
        <w:t xml:space="preserve">, Libre Baskerville serif headings, IBM Plex Mono for data labels) creates a deliberately research/editorial aesthetic that distinguishes the tool from generic dashboard apps. The dark sidebar against the warm content area creates strong visual hierarchy. The design system is coherent and would scale well to a multi-page application.</w:t>
      </w:r>
    </w:p>
    <w:p>
      <w:pPr>
        <w:pStyle w:val="Normal"/>
        <w:spacing w:after="140"/>
      </w:pPr>
      <w:r>
        <w:rPr>
          <w:rFonts w:ascii="Arial" w:cs="Arial" w:eastAsia="Arial" w:hAnsi="Arial"/>
          <w:color w:val="0C0F18"/>
          <w:sz w:val="22"/>
          <w:szCs w:val="22"/>
        </w:rPr>
        <w:t xml:space="preserve">The impact score ring, animated progress bars, and colour-coded risk badges (Critical/High/Medium/Low/Positive) add information density without clutter. The live green dot in the header is a nice touch that signals data currency.</w:t>
      </w:r>
    </w:p>
    <w:p>
      <w:pPr>
        <w:pStyle w:val="Heading2"/>
        <w:spacing w:before="300" w:after="120"/>
      </w:pPr>
      <w:r>
        <w:rPr>
          <w:rFonts w:ascii="Arial" w:cs="Arial" w:eastAsia="Arial" w:hAnsi="Arial"/>
          <w:b/>
          <w:bCs/>
          <w:color w:val="0C0F18"/>
          <w:sz w:val="28"/>
          <w:szCs w:val="28"/>
        </w:rPr>
        <w:t xml:space="preserve">4.3 Notable UX Weaknesses</w:t>
      </w:r>
    </w:p>
    <w:p>
      <w:pPr>
        <w:pStyle w:val="ListParagraph"/>
        <w:numPr>
          <w:ilvl w:val="0"/>
          <w:numId w:val="2"/>
        </w:numPr>
        <w:spacing w:after="80"/>
      </w:pPr>
      <w:r>
        <w:rPr>
          <w:rFonts w:ascii="Arial" w:cs="Arial" w:eastAsia="Arial" w:hAnsi="Arial"/>
          <w:b/>
          <w:bCs/>
          <w:color w:val="0C0F18"/>
          <w:sz w:val="21"/>
          <w:szCs w:val="21"/>
        </w:rPr>
        <w:t xml:space="preserve">The custom event textarea is buried at the bottom of a long sidebar requiring significant scrolling. For many users this is the highest-value feature — it should be more discoverable, possibly as a floating action button or a dedicated tab.</w:t>
      </w:r>
    </w:p>
    <w:p>
      <w:pPr>
        <w:pStyle w:val="ListParagraph"/>
        <w:numPr>
          <w:ilvl w:val="0"/>
          <w:numId w:val="2"/>
        </w:numPr>
        <w:spacing w:after="80"/>
      </w:pPr>
      <w:r>
        <w:rPr>
          <w:rFonts w:ascii="Arial" w:cs="Arial" w:eastAsia="Arial" w:hAnsi="Arial"/>
          <w:b w:val="false"/>
          <w:bCs w:val="false"/>
          <w:color w:val="0C0F18"/>
          <w:sz w:val="21"/>
          <w:szCs w:val="21"/>
        </w:rPr>
        <w:t xml:space="preserve">The sidebar is 308px wide and not collapsible on desktop. On 13-inch laptops, this compresses the content area significantly. A collapse/expand toggle would help.</w:t>
      </w:r>
    </w:p>
    <w:p>
      <w:pPr>
        <w:pStyle w:val="ListParagraph"/>
        <w:numPr>
          <w:ilvl w:val="0"/>
          <w:numId w:val="2"/>
        </w:numPr>
        <w:spacing w:after="80"/>
      </w:pPr>
      <w:r>
        <w:rPr>
          <w:rFonts w:ascii="Arial" w:cs="Arial" w:eastAsia="Arial" w:hAnsi="Arial"/>
          <w:b w:val="false"/>
          <w:bCs w:val="false"/>
          <w:color w:val="0C0F18"/>
          <w:sz w:val="21"/>
          <w:szCs w:val="21"/>
        </w:rPr>
        <w:t xml:space="preserve">The DEMO MODE bar (gold gradient) is visible but its message is easy to miss on a busy page. Users who miss it may think they're seeing real-time AI output.</w:t>
      </w:r>
    </w:p>
    <w:p>
      <w:pPr>
        <w:pStyle w:val="ListParagraph"/>
        <w:numPr>
          <w:ilvl w:val="0"/>
          <w:numId w:val="2"/>
        </w:numPr>
        <w:spacing w:after="80"/>
      </w:pPr>
      <w:r>
        <w:rPr>
          <w:rFonts w:ascii="Arial" w:cs="Arial" w:eastAsia="Arial" w:hAnsi="Arial"/>
          <w:b w:val="false"/>
          <w:bCs w:val="false"/>
          <w:color w:val="0C0F18"/>
          <w:sz w:val="21"/>
          <w:szCs w:val="21"/>
        </w:rPr>
        <w:t xml:space="preserve">There is no onboarding or tooltip system explaining the impact score scale, what 'workers at risk' means vs 'jobs lost', or how to interpret the profession cards. A first-run tooltip tour would significantly improve comprehension for new users.</w:t>
      </w:r>
    </w:p>
    <w:p>
      <w:pPr>
        <w:pStyle w:val="ListParagraph"/>
        <w:numPr>
          <w:ilvl w:val="0"/>
          <w:numId w:val="2"/>
        </w:numPr>
        <w:spacing w:after="80"/>
      </w:pPr>
      <w:r>
        <w:rPr>
          <w:rFonts w:ascii="Arial" w:cs="Arial" w:eastAsia="Arial" w:hAnsi="Arial"/>
          <w:b w:val="false"/>
          <w:bCs w:val="false"/>
          <w:color w:val="0C0F18"/>
          <w:sz w:val="21"/>
          <w:szCs w:val="21"/>
        </w:rPr>
        <w:t xml:space="preserve">The filter chips (Critical / High / Positive) are positioned below the results header but above the profession grid. Their visual weight is too low — they look like metadata rather than interactive controls.</w:t>
      </w:r>
    </w:p>
    <w:p>
      <w:pPr>
        <w:pStyle w:val="Heading2"/>
        <w:spacing w:before="300" w:after="120"/>
      </w:pPr>
      <w:r>
        <w:rPr>
          <w:rFonts w:ascii="Arial" w:cs="Arial" w:eastAsia="Arial" w:hAnsi="Arial"/>
          <w:b/>
          <w:bCs/>
          <w:color w:val="0C0F18"/>
          <w:sz w:val="28"/>
          <w:szCs w:val="28"/>
        </w:rPr>
        <w:t xml:space="preserve">4.4 Accessibility</w:t>
      </w:r>
    </w:p>
    <w:p>
      <w:pPr>
        <w:pStyle w:val="Normal"/>
        <w:spacing w:after="140"/>
      </w:pPr>
      <w:r>
        <w:rPr>
          <w:rFonts w:ascii="Arial" w:cs="Arial" w:eastAsia="Arial" w:hAnsi="Arial"/>
          <w:color w:val="0C0F18"/>
          <w:sz w:val="22"/>
          <w:szCs w:val="22"/>
        </w:rPr>
        <w:t xml:space="preserve">The application makes a credible accessibility effort: role attributes on tabs (tablist/tab/tabpanel) and ARIA labels on interactive elements are present. Focus-visible outlines using the gold colour are implemented. The event cards in the sidebar support keyboard navigation (Enter/Space to select). The loading state has aria-live='polite' so screen readers announce status updates.</w:t>
      </w:r>
    </w:p>
    <w:p>
      <w:pPr>
        <w:pStyle w:val="Normal"/>
        <w:spacing w:after="140"/>
      </w:pPr>
      <w:r>
        <w:rPr>
          <w:rFonts w:ascii="Arial" w:cs="Arial" w:eastAsia="Arial" w:hAnsi="Arial"/>
          <w:color w:val="0C0F18"/>
          <w:sz w:val="22"/>
          <w:szCs w:val="22"/>
        </w:rPr>
        <w:t xml:space="preserve">Key remaining gaps: the profession and industry cards have no text alternative for the impact score bars (which are purely visual), and the colour-only risk signalling (red for Critical, green for Positive) has no non-colour fallback for colour-blind users.</w:t>
      </w:r>
    </w:p>
    <w:p>
      <w:pPr>
        <w:pBdr>
          <w:bottom w:val="single" w:color="CCCCCC" w:sz="4" w:space="1"/>
        </w:pBdr>
        <w:spacing w:before="160" w:after="160"/>
      </w:pPr>
    </w:p>
    <w:p>
      <w:pPr>
        <w:pStyle w:val="Heading1"/>
        <w:spacing w:before="300" w:after="120"/>
      </w:pPr>
      <w:r>
        <w:rPr>
          <w:rFonts w:ascii="Arial" w:cs="Arial" w:eastAsia="Arial" w:hAnsi="Arial"/>
          <w:b/>
          <w:bCs/>
          <w:color w:val="0C0F18"/>
          <w:sz w:val="36"/>
          <w:szCs w:val="36"/>
        </w:rPr>
        <w:t xml:space="preserve">5. AI Analysis Quality</w:t>
      </w:r>
    </w:p>
    <w:p>
      <w:pPr>
        <w:pStyle w:val="Heading2"/>
        <w:spacing w:before="300" w:after="120"/>
      </w:pPr>
      <w:r>
        <w:rPr>
          <w:rFonts w:ascii="Arial" w:cs="Arial" w:eastAsia="Arial" w:hAnsi="Arial"/>
          <w:b/>
          <w:bCs/>
          <w:color w:val="0C0F18"/>
          <w:sz w:val="28"/>
          <w:szCs w:val="28"/>
        </w:rPr>
        <w:t xml:space="preserve">5.1 Prompt Architecture Assessment</w:t>
      </w:r>
    </w:p>
    <w:p>
      <w:pPr>
        <w:pStyle w:val="Normal"/>
        <w:spacing w:after="140"/>
      </w:pPr>
      <w:r>
        <w:rPr>
          <w:rFonts w:ascii="Arial" w:cs="Arial" w:eastAsia="Arial" w:hAnsi="Arial"/>
          <w:color w:val="0C0F18"/>
          <w:sz w:val="22"/>
          <w:szCs w:val="22"/>
        </w:rPr>
        <w:t xml:space="preserve">The prompt is the intellectual core of the application and is notably well-engineered. Key strengths:</w:t>
      </w:r>
    </w:p>
    <w:p>
      <w:pPr>
        <w:pStyle w:val="ListParagraph"/>
        <w:numPr>
          <w:ilvl w:val="0"/>
          <w:numId w:val="2"/>
        </w:numPr>
        <w:spacing w:after="80"/>
      </w:pPr>
      <w:r>
        <w:rPr>
          <w:rFonts w:ascii="Arial" w:cs="Arial" w:eastAsia="Arial" w:hAnsi="Arial"/>
          <w:b w:val="false"/>
          <w:bCs w:val="false"/>
          <w:color w:val="0C0F18"/>
          <w:sz w:val="21"/>
          <w:szCs w:val="21"/>
        </w:rPr>
        <w:t xml:space="preserve">Structured JSON schema enforcement: the prompt specifies the exact output schema with field types, enum values, and array structures. This is why the parser rarely fails.</w:t>
      </w:r>
    </w:p>
    <w:p>
      <w:pPr>
        <w:pStyle w:val="ListParagraph"/>
        <w:numPr>
          <w:ilvl w:val="0"/>
          <w:numId w:val="2"/>
        </w:numPr>
        <w:spacing w:after="80"/>
      </w:pPr>
      <w:r>
        <w:rPr>
          <w:rFonts w:ascii="Arial" w:cs="Arial" w:eastAsia="Arial" w:hAnsi="Arial"/>
          <w:b w:val="false"/>
          <w:bCs w:val="false"/>
          <w:color w:val="0C0F18"/>
          <w:sz w:val="21"/>
          <w:szCs w:val="21"/>
        </w:rPr>
        <w:t xml:space="preserve">Domain-specific grounding: the prompt injects verified Thai workforce statistics before asking the model to analyse, ensuring outputs are calibrated to actual employment distributions rather than model priors.</w:t>
      </w:r>
    </w:p>
    <w:p>
      <w:pPr>
        <w:pStyle w:val="ListParagraph"/>
        <w:numPr>
          <w:ilvl w:val="0"/>
          <w:numId w:val="2"/>
        </w:numPr>
        <w:spacing w:after="80"/>
      </w:pPr>
      <w:r>
        <w:rPr>
          <w:rFonts w:ascii="Arial" w:cs="Arial" w:eastAsia="Arial" w:hAnsi="Arial"/>
          <w:b w:val="false"/>
          <w:bCs w:val="false"/>
          <w:color w:val="0C0F18"/>
          <w:sz w:val="21"/>
          <w:szCs w:val="21"/>
        </w:rPr>
        <w:t xml:space="preserve">Forced specificity instructions: 'cite company names, trade routes, specific products, government policy where relevant' in the industry analysis prompt produces qualitatively richer outputs.</w:t>
      </w:r>
    </w:p>
    <w:p>
      <w:pPr>
        <w:pStyle w:val="ListParagraph"/>
        <w:numPr>
          <w:ilvl w:val="0"/>
          <w:numId w:val="2"/>
        </w:numPr>
        <w:spacing w:after="80"/>
      </w:pPr>
      <w:r>
        <w:rPr>
          <w:rFonts w:ascii="Arial" w:cs="Arial" w:eastAsia="Arial" w:hAnsi="Arial"/>
          <w:b w:val="false"/>
          <w:bCs w:val="false"/>
          <w:color w:val="0C0F18"/>
          <w:sz w:val="21"/>
          <w:szCs w:val="21"/>
        </w:rPr>
        <w:t xml:space="preserve">Separate analysis of professions and industries prevents the common LLM failure mode of blending sector-level and worker-level analysis.</w:t>
      </w:r>
    </w:p>
    <w:p>
      <w:pPr>
        <w:pStyle w:val="Heading2"/>
        <w:spacing w:before="300" w:after="120"/>
      </w:pPr>
      <w:r>
        <w:rPr>
          <w:rFonts w:ascii="Arial" w:cs="Arial" w:eastAsia="Arial" w:hAnsi="Arial"/>
          <w:b/>
          <w:bCs/>
          <w:color w:val="0C0F18"/>
          <w:sz w:val="28"/>
          <w:szCs w:val="28"/>
        </w:rPr>
        <w:t xml:space="preserve">5.2 Output Quality Assessment</w:t>
      </w:r>
    </w:p>
    <w:p>
      <w:pPr>
        <w:pStyle w:val="Normal"/>
        <w:spacing w:after="140"/>
      </w:pPr>
      <w:r>
        <w:rPr>
          <w:rFonts w:ascii="Arial" w:cs="Arial" w:eastAsia="Arial" w:hAnsi="Arial"/>
          <w:color w:val="0C0F18"/>
          <w:sz w:val="22"/>
          <w:szCs w:val="22"/>
        </w:rPr>
        <w:t xml:space="preserve">Reviewing the mock analysis for the Hormuz Crisis event (which was AI-generated prior to mock data rebuild):</w:t>
      </w:r>
    </w:p>
    <w:p>
      <w:pPr>
        <w:pStyle w:val="ListParagraph"/>
        <w:numPr>
          <w:ilvl w:val="0"/>
          <w:numId w:val="2"/>
        </w:numPr>
        <w:spacing w:after="80"/>
      </w:pPr>
      <w:r>
        <w:rPr>
          <w:rFonts w:ascii="Arial" w:cs="Arial" w:eastAsia="Arial" w:hAnsi="Arial"/>
          <w:b/>
          <w:bCs/>
          <w:color w:val="0C0F18"/>
          <w:sz w:val="21"/>
          <w:szCs w:val="21"/>
        </w:rPr>
        <w:t xml:space="preserve">The three-paragraph analysis correctly identifies the three transmission mechanisms (fuel costs, power generation, tourism demand) and links them to specific worker populations with plausible numbers.</w:t>
      </w:r>
    </w:p>
    <w:p>
      <w:pPr>
        <w:pStyle w:val="ListParagraph"/>
        <w:numPr>
          <w:ilvl w:val="0"/>
          <w:numId w:val="2"/>
        </w:numPr>
        <w:spacing w:after="80"/>
      </w:pPr>
      <w:r>
        <w:rPr>
          <w:rFonts w:ascii="Arial" w:cs="Arial" w:eastAsia="Arial" w:hAnsi="Arial"/>
          <w:b w:val="false"/>
          <w:bCs w:val="false"/>
          <w:color w:val="0C0F18"/>
          <w:sz w:val="21"/>
          <w:szCs w:val="21"/>
        </w:rPr>
        <w:t xml:space="preserve">Profession cards are genuinely specific: 'PTT Group's refinery complex at Map Ta Phut' and 'Western Digital (Ayutthaya) and Seagate (Korat) plants' are correctly located real facilities.</w:t>
      </w:r>
    </w:p>
    <w:p>
      <w:pPr>
        <w:pStyle w:val="ListParagraph"/>
        <w:numPr>
          <w:ilvl w:val="0"/>
          <w:numId w:val="2"/>
        </w:numPr>
        <w:spacing w:after="80"/>
      </w:pPr>
      <w:r>
        <w:rPr>
          <w:rFonts w:ascii="Arial" w:cs="Arial" w:eastAsia="Arial" w:hAnsi="Arial"/>
          <w:b w:val="false"/>
          <w:bCs w:val="false"/>
          <w:color w:val="0C0F18"/>
          <w:sz w:val="21"/>
          <w:szCs w:val="21"/>
        </w:rPr>
        <w:t xml:space="preserve">The recommendation section correctly references specific Thai government mechanisms (BAAC, DOF vessel registration, SSSO Section 33, SSO Section 40) rather than generic 'policy responses'.</w:t>
      </w:r>
    </w:p>
    <w:p>
      <w:pPr>
        <w:pStyle w:val="ListParagraph"/>
        <w:numPr>
          <w:ilvl w:val="0"/>
          <w:numId w:val="2"/>
        </w:numPr>
        <w:spacing w:after="80"/>
      </w:pPr>
      <w:r>
        <w:rPr>
          <w:rFonts w:ascii="Arial" w:cs="Arial" w:eastAsia="Arial" w:hAnsi="Arial"/>
          <w:b w:val="false"/>
          <w:bCs w:val="false"/>
          <w:color w:val="0C0F18"/>
          <w:sz w:val="21"/>
          <w:szCs w:val="21"/>
        </w:rPr>
        <w:t xml:space="preserve">The timeline phasing is logical and internally consistent with the magnitude scores.</w:t>
      </w:r>
    </w:p>
    <w:p>
      <w:pPr>
        <w:pStyle w:val="Normal"/>
        <w:spacing w:after="140"/>
      </w:pPr>
      <w:r>
        <w:rPr>
          <w:rFonts w:ascii="Arial" w:cs="Arial" w:eastAsia="Arial" w:hAnsi="Arial"/>
          <w:b/>
          <w:bCs/>
          <w:i w:val="false"/>
          <w:iCs w:val="false"/>
          <w:color w:val="B84C1A"/>
          <w:sz w:val="22"/>
          <w:szCs w:val="22"/>
        </w:rPr>
        <w:t xml:space="preserve">Key limitation: </w:t>
      </w:r>
      <w:r>
        <w:rPr>
          <w:rFonts w:ascii="Arial" w:cs="Arial" w:eastAsia="Arial" w:hAnsi="Arial"/>
          <w:b w:val="false"/>
          <w:bCs w:val="false"/>
          <w:i w:val="false"/>
          <w:iCs w:val="false"/>
          <w:color w:val="0C0F18"/>
          <w:sz w:val="22"/>
          <w:szCs w:val="22"/>
        </w:rPr>
        <w:t xml:space="preserve">the analysis has no citation infrastructure. When the analysis states 'every $10/bbl increase costs Thailand ~0.4% GDP', this figure is accurate (Nomura research) but the user has no way to trace it. For professional research use, source attribution is required.</w:t>
      </w:r>
    </w:p>
    <w:p>
      <w:pPr>
        <w:pStyle w:val="Heading2"/>
        <w:spacing w:before="300" w:after="120"/>
      </w:pPr>
      <w:r>
        <w:rPr>
          <w:rFonts w:ascii="Arial" w:cs="Arial" w:eastAsia="Arial" w:hAnsi="Arial"/>
          <w:b/>
          <w:bCs/>
          <w:color w:val="0C0F18"/>
          <w:sz w:val="28"/>
          <w:szCs w:val="28"/>
        </w:rPr>
        <w:t xml:space="preserve">5.3 Hallucination Risk Assessment</w:t>
      </w:r>
    </w:p>
    <w:p>
      <w:pPr>
        <w:pStyle w:val="Normal"/>
        <w:spacing w:after="140"/>
      </w:pPr>
      <w:r>
        <w:rPr>
          <w:rFonts w:ascii="Arial" w:cs="Arial" w:eastAsia="Arial" w:hAnsi="Arial"/>
          <w:color w:val="0C0F18"/>
          <w:sz w:val="22"/>
          <w:szCs w:val="22"/>
        </w:rPr>
        <w:t xml:space="preserve">LLM-generated quantitative analysis carries inherent hallucination risk. The application mitigates this through:</w:t>
      </w:r>
    </w:p>
    <w:p>
      <w:pPr>
        <w:pStyle w:val="ListParagraph"/>
        <w:numPr>
          <w:ilvl w:val="0"/>
          <w:numId w:val="2"/>
        </w:numPr>
        <w:spacing w:after="80"/>
      </w:pPr>
      <w:r>
        <w:rPr>
          <w:rFonts w:ascii="Arial" w:cs="Arial" w:eastAsia="Arial" w:hAnsi="Arial"/>
          <w:b w:val="false"/>
          <w:bCs w:val="false"/>
          <w:color w:val="0C0F18"/>
          <w:sz w:val="21"/>
          <w:szCs w:val="21"/>
        </w:rPr>
        <w:t xml:space="preserve">Injecting verified base statistics (worker counts, GDP shares) that the model must use</w:t>
      </w:r>
    </w:p>
    <w:p>
      <w:pPr>
        <w:pStyle w:val="ListParagraph"/>
        <w:numPr>
          <w:ilvl w:val="0"/>
          <w:numId w:val="2"/>
        </w:numPr>
        <w:spacing w:after="80"/>
      </w:pPr>
      <w:r>
        <w:rPr>
          <w:rFonts w:ascii="Arial" w:cs="Arial" w:eastAsia="Arial" w:hAnsi="Arial"/>
          <w:b w:val="false"/>
          <w:bCs w:val="false"/>
          <w:color w:val="0C0F18"/>
          <w:sz w:val="21"/>
          <w:szCs w:val="21"/>
        </w:rPr>
        <w:t xml:space="preserve">Requiring named institutions and companies that can be externally verified</w:t>
      </w:r>
    </w:p>
    <w:p>
      <w:pPr>
        <w:pStyle w:val="ListParagraph"/>
        <w:numPr>
          <w:ilvl w:val="0"/>
          <w:numId w:val="2"/>
        </w:numPr>
        <w:spacing w:after="80"/>
      </w:pPr>
      <w:r>
        <w:rPr>
          <w:rFonts w:ascii="Arial" w:cs="Arial" w:eastAsia="Arial" w:hAnsi="Arial"/>
          <w:b w:val="false"/>
          <w:bCs w:val="false"/>
          <w:color w:val="0C0F18"/>
          <w:sz w:val="21"/>
          <w:szCs w:val="21"/>
        </w:rPr>
        <w:t xml:space="preserve">The structured JSON schema prevents the model from hedging with vague qualitative language</w:t>
      </w:r>
    </w:p>
    <w:p>
      <w:pPr>
        <w:pStyle w:val="Normal"/>
        <w:spacing w:after="140"/>
      </w:pPr>
      <w:r>
        <w:rPr>
          <w:rFonts w:ascii="Arial" w:cs="Arial" w:eastAsia="Arial" w:hAnsi="Arial"/>
          <w:b/>
          <w:bCs/>
          <w:i w:val="false"/>
          <w:iCs w:val="false"/>
          <w:color w:val="B84C1A"/>
          <w:sz w:val="22"/>
          <w:szCs w:val="22"/>
        </w:rPr>
        <w:t xml:space="preserve">Residual risk: </w:t>
      </w:r>
      <w:r>
        <w:rPr>
          <w:rFonts w:ascii="Arial" w:cs="Arial" w:eastAsia="Arial" w:hAnsi="Arial"/>
          <w:b w:val="false"/>
          <w:bCs w:val="false"/>
          <w:i w:val="false"/>
          <w:iCs w:val="false"/>
          <w:color w:val="0C0F18"/>
          <w:sz w:val="22"/>
          <w:szCs w:val="22"/>
        </w:rPr>
        <w:t xml:space="preserve">precise percentage figures (e.g., 'a 50% fuel price increase makes approximately 35–40% of active vessels economically unviable') are model-generated extrapolations that could be wrong. The application presents these with inappropriate precision. A confidence interval indicator or a 'methodology note' disclaimer would reduce this risk without degrading usefulness.</w:t>
      </w:r>
    </w:p>
    <w:p>
      <w:pPr>
        <w:pBdr>
          <w:bottom w:val="single" w:color="CCCCCC" w:sz="4" w:space="1"/>
        </w:pBdr>
        <w:spacing w:before="160" w:after="160"/>
      </w:pPr>
    </w:p>
    <w:p>
      <w:pPr>
        <w:pStyle w:val="Heading1"/>
        <w:spacing w:before="300" w:after="120"/>
      </w:pPr>
      <w:r>
        <w:rPr>
          <w:rFonts w:ascii="Arial" w:cs="Arial" w:eastAsia="Arial" w:hAnsi="Arial"/>
          <w:b/>
          <w:bCs/>
          <w:color w:val="0C0F18"/>
          <w:sz w:val="36"/>
          <w:szCs w:val="36"/>
        </w:rPr>
        <w:t xml:space="preserve">6. Consolidated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000"/>
        <w:gridCol w:w="6880"/>
      </w:tblGrid>
      <w:tr>
        <w:trPr>
          <w:tblHeader/>
        </w:trPr>
        <w:tc>
          <w:tcPr>
            <w:tcW w:type="dxa" w:w="480"/>
            <w:tcBorders>
              <w:top w:val="single" w:color="0C0F18" w:sz="1"/>
              <w:left w:val="single" w:color="0C0F18" w:sz="1"/>
              <w:bottom w:val="single" w:color="0C0F18" w:sz="1"/>
              <w:right w:val="single" w:color="0C0F18" w:sz="1"/>
            </w:tcBorders>
            <w:shd w:fill="0C0F18" w:val="clear"/>
            <w:tcMar>
              <w:top w:type="dxa" w:w="80"/>
              <w:left w:type="dxa" w:w="100"/>
              <w:bottom w:type="dxa" w:w="80"/>
              <w:right w:type="dxa" w:w="80"/>
            </w:tcMar>
          </w:tcPr>
          <w:p>
            <w:r>
              <w:rPr>
                <w:rFonts w:ascii="Arial" w:cs="Arial" w:eastAsia="Arial" w:hAnsi="Arial"/>
                <w:b/>
                <w:bCs/>
                <w:color w:val="FFFFFF"/>
                <w:sz w:val="20"/>
                <w:szCs w:val="20"/>
              </w:rPr>
              <w:t xml:space="preserve"/>
            </w:r>
          </w:p>
        </w:tc>
        <w:tc>
          <w:tcPr>
            <w:tcW w:type="dxa" w:w="2000"/>
            <w:tcBorders>
              <w:top w:val="single" w:color="0C0F18" w:sz="1"/>
              <w:left w:val="single" w:color="0C0F18" w:sz="1"/>
              <w:bottom w:val="single" w:color="0C0F18" w:sz="1"/>
              <w:right w:val="single" w:color="0C0F18" w:sz="1"/>
            </w:tcBorders>
            <w:shd w:fill="0C0F18" w:val="clear"/>
            <w:tcMar>
              <w:top w:type="dxa" w:w="80"/>
              <w:left w:type="dxa" w:w="120"/>
              <w:bottom w:type="dxa" w:w="80"/>
              <w:right w:type="dxa" w:w="80"/>
            </w:tcMar>
          </w:tcPr>
          <w:p>
            <w:r>
              <w:rPr>
                <w:rFonts w:ascii="Arial" w:cs="Arial" w:eastAsia="Arial" w:hAnsi="Arial"/>
                <w:b/>
                <w:bCs/>
                <w:color w:val="FFFFFF"/>
                <w:sz w:val="20"/>
                <w:szCs w:val="20"/>
              </w:rPr>
              <w:t xml:space="preserve">Finding</w:t>
            </w:r>
          </w:p>
        </w:tc>
        <w:tc>
          <w:tcPr>
            <w:tcW w:type="dxa" w:w="6880"/>
            <w:tcBorders>
              <w:top w:val="single" w:color="0C0F18" w:sz="1"/>
              <w:left w:val="single" w:color="0C0F18" w:sz="1"/>
              <w:bottom w:val="single" w:color="0C0F18" w:sz="1"/>
              <w:right w:val="single" w:color="0C0F18" w:sz="1"/>
            </w:tcBorders>
            <w:shd w:fill="0C0F18" w:val="clear"/>
            <w:tcMar>
              <w:top w:type="dxa" w:w="80"/>
              <w:left w:type="dxa" w:w="120"/>
              <w:bottom w:type="dxa" w:w="80"/>
              <w:right w:type="dxa" w:w="120"/>
            </w:tcMar>
          </w:tcPr>
          <w:p>
            <w:r>
              <w:rPr>
                <w:rFonts w:ascii="Arial" w:cs="Arial" w:eastAsia="Arial" w:hAnsi="Arial"/>
                <w:b/>
                <w:bCs/>
                <w:color w:val="FFFFFF"/>
                <w:sz w:val="20"/>
                <w:szCs w:val="20"/>
              </w:rPr>
              <w:t xml:space="preserve">Detail &amp; Recommendation</w:t>
            </w:r>
          </w:p>
        </w:tc>
      </w:tr>
      <w:tr>
        <w:tc>
          <w:tcPr>
            <w:tcW w:type="dxa" w:w="480"/>
            <w:tcBorders>
              <w:top w:val="single" w:color="E5DDD0" w:sz="1"/>
              <w:left w:val="single" w:color="E5DDD0" w:sz="1"/>
              <w:bottom w:val="single" w:color="E5DDD0" w:sz="1"/>
              <w:right w:val="single" w:color="E5DDD0" w:sz="1"/>
            </w:tcBorders>
            <w:shd w:fill="EEF2FA" w:val="clear"/>
            <w:tcMar>
              <w:top w:type="dxa" w:w="80"/>
              <w:left w:type="dxa" w:w="100"/>
              <w:bottom w:type="dxa" w:w="80"/>
              <w:right w:type="dxa" w:w="80"/>
            </w:tcMar>
            <w:vAlign w:val="top"/>
          </w:tcPr>
          <w:p>
            <w:pPr>
              <w:jc w:val="center"/>
            </w:pPr>
            <w:r>
              <w:rPr>
                <w:rFonts w:ascii="Arial" w:cs="Arial" w:eastAsia="Arial" w:hAnsi="Arial"/>
                <w:sz w:val="26"/>
                <w:szCs w:val="26"/>
              </w:rPr>
              <w:t xml:space="preserve">+</w:t>
            </w:r>
          </w:p>
        </w:tc>
        <w:tc>
          <w:tcPr>
            <w:tcW w:type="dxa" w:w="2000"/>
            <w:tcBorders>
              <w:top w:val="single" w:color="E5DDD0" w:sz="1"/>
              <w:left w:val="single" w:color="E5DDD0" w:sz="1"/>
              <w:bottom w:val="single" w:color="E5DDD0" w:sz="1"/>
              <w:right w:val="single" w:color="E5DDD0" w:sz="1"/>
            </w:tcBorders>
            <w:shd w:fill="EEF2FA" w:val="clear"/>
            <w:tcMar>
              <w:top w:type="dxa" w:w="80"/>
              <w:left w:type="dxa" w:w="120"/>
              <w:bottom w:type="dxa" w:w="80"/>
              <w:right w:type="dxa" w:w="80"/>
            </w:tcMar>
          </w:tcPr>
          <w:p>
            <w:r>
              <w:rPr>
                <w:rFonts w:ascii="Arial" w:cs="Arial" w:eastAsia="Arial" w:hAnsi="Arial"/>
                <w:b/>
                <w:bCs/>
                <w:color w:val="1B3F7A"/>
                <w:sz w:val="21"/>
                <w:szCs w:val="21"/>
              </w:rPr>
              <w:t xml:space="preserve">Exceptional Prompt Engineering</w:t>
            </w:r>
          </w:p>
          <w:p>
            <w:r>
              <w:rPr>
                <w:rFonts w:ascii="Arial" w:cs="Arial" w:eastAsia="Arial" w:hAnsi="Arial"/>
                <w:b/>
                <w:bCs/>
                <w:color w:val="1B3F7A"/>
                <w:sz w:val="17"/>
                <w:szCs w:val="17"/>
              </w:rPr>
              <w:t xml:space="preserve">Positive</w:t>
            </w:r>
          </w:p>
        </w:tc>
        <w:tc>
          <w:tcPr>
            <w:tcW w:type="dxa" w:w="6880"/>
            <w:tcBorders>
              <w:top w:val="single" w:color="E5DDD0" w:sz="1"/>
              <w:left w:val="single" w:color="E5DDD0" w:sz="1"/>
              <w:bottom w:val="single" w:color="E5DDD0" w:sz="1"/>
              <w:right w:val="single" w:color="E5DDD0" w:sz="1"/>
            </w:tcBorders>
            <w:shd w:fill="EEF2FA" w:val="clear"/>
            <w:tcMar>
              <w:top w:type="dxa" w:w="80"/>
              <w:left w:type="dxa" w:w="120"/>
              <w:bottom w:type="dxa" w:w="80"/>
              <w:right w:type="dxa" w:w="120"/>
            </w:tcMar>
          </w:tcPr>
          <w:p>
            <w:r>
              <w:rPr>
                <w:rFonts w:ascii="Arial" w:cs="Arial" w:eastAsia="Arial" w:hAnsi="Arial"/>
                <w:color w:val="0C0F18"/>
                <w:sz w:val="20"/>
                <w:szCs w:val="20"/>
              </w:rPr>
              <w:t xml:space="preserve">The injection of verified Thai workforce statistics into every prompt, combined with forced specificity (named companies, baht wages, named institutions), produces qualitatively superior outputs compared to generic LLM queries. This is the tool's durable competitive advantage.</w:t>
            </w:r>
          </w:p>
        </w:tc>
      </w:tr>
      <w:tr>
        <w:tc>
          <w:tcPr>
            <w:tcW w:type="dxa" w:w="480"/>
            <w:tcBorders>
              <w:top w:val="single" w:color="E5DDD0" w:sz="1"/>
              <w:left w:val="single" w:color="E5DDD0" w:sz="1"/>
              <w:bottom w:val="single" w:color="E5DDD0" w:sz="1"/>
              <w:right w:val="single" w:color="E5DDD0" w:sz="1"/>
            </w:tcBorders>
            <w:shd w:fill="EEF2FA" w:val="clear"/>
            <w:tcMar>
              <w:top w:type="dxa" w:w="80"/>
              <w:left w:type="dxa" w:w="100"/>
              <w:bottom w:type="dxa" w:w="80"/>
              <w:right w:type="dxa" w:w="80"/>
            </w:tcMar>
            <w:vAlign w:val="top"/>
          </w:tcPr>
          <w:p>
            <w:pPr>
              <w:jc w:val="center"/>
            </w:pPr>
            <w:r>
              <w:rPr>
                <w:rFonts w:ascii="Arial" w:cs="Arial" w:eastAsia="Arial" w:hAnsi="Arial"/>
                <w:sz w:val="26"/>
                <w:szCs w:val="26"/>
              </w:rPr>
              <w:t xml:space="preserve">+</w:t>
            </w:r>
          </w:p>
        </w:tc>
        <w:tc>
          <w:tcPr>
            <w:tcW w:type="dxa" w:w="2000"/>
            <w:tcBorders>
              <w:top w:val="single" w:color="E5DDD0" w:sz="1"/>
              <w:left w:val="single" w:color="E5DDD0" w:sz="1"/>
              <w:bottom w:val="single" w:color="E5DDD0" w:sz="1"/>
              <w:right w:val="single" w:color="E5DDD0" w:sz="1"/>
            </w:tcBorders>
            <w:shd w:fill="EEF2FA" w:val="clear"/>
            <w:tcMar>
              <w:top w:type="dxa" w:w="80"/>
              <w:left w:type="dxa" w:w="120"/>
              <w:bottom w:type="dxa" w:w="80"/>
              <w:right w:type="dxa" w:w="80"/>
            </w:tcMar>
          </w:tcPr>
          <w:p>
            <w:r>
              <w:rPr>
                <w:rFonts w:ascii="Arial" w:cs="Arial" w:eastAsia="Arial" w:hAnsi="Arial"/>
                <w:b/>
                <w:bCs/>
                <w:color w:val="1B3F7A"/>
                <w:sz w:val="21"/>
                <w:szCs w:val="21"/>
              </w:rPr>
              <w:t xml:space="preserve">Rich Editorial Layer</w:t>
            </w:r>
          </w:p>
          <w:p>
            <w:r>
              <w:rPr>
                <w:rFonts w:ascii="Arial" w:cs="Arial" w:eastAsia="Arial" w:hAnsi="Arial"/>
                <w:b/>
                <w:bCs/>
                <w:color w:val="1B3F7A"/>
                <w:sz w:val="17"/>
                <w:szCs w:val="17"/>
              </w:rPr>
              <w:t xml:space="preserve">Positive</w:t>
            </w:r>
          </w:p>
        </w:tc>
        <w:tc>
          <w:tcPr>
            <w:tcW w:type="dxa" w:w="6880"/>
            <w:tcBorders>
              <w:top w:val="single" w:color="E5DDD0" w:sz="1"/>
              <w:left w:val="single" w:color="E5DDD0" w:sz="1"/>
              <w:bottom w:val="single" w:color="E5DDD0" w:sz="1"/>
              <w:right w:val="single" w:color="E5DDD0" w:sz="1"/>
            </w:tcBorders>
            <w:shd w:fill="EEF2FA" w:val="clear"/>
            <w:tcMar>
              <w:top w:type="dxa" w:w="80"/>
              <w:left w:type="dxa" w:w="120"/>
              <w:bottom w:type="dxa" w:w="80"/>
              <w:right w:type="dxa" w:w="120"/>
            </w:tcMar>
          </w:tcPr>
          <w:p>
            <w:r>
              <w:rPr>
                <w:rFonts w:ascii="Arial" w:cs="Arial" w:eastAsia="Arial" w:hAnsi="Arial"/>
                <w:color w:val="0C0F18"/>
                <w:sz w:val="20"/>
                <w:szCs w:val="20"/>
              </w:rPr>
              <w:t xml:space="preserve">18 events with detailed, accurate context strings (totalling ~30,000 characters of domain knowledge) represent substantial editorial value that cannot be replicated by competitors without equivalent research investment.</w:t>
            </w:r>
          </w:p>
        </w:tc>
      </w:tr>
      <w:tr>
        <w:tc>
          <w:tcPr>
            <w:tcW w:type="dxa" w:w="480"/>
            <w:tcBorders>
              <w:top w:val="single" w:color="E5DDD0" w:sz="1"/>
              <w:left w:val="single" w:color="E5DDD0" w:sz="1"/>
              <w:bottom w:val="single" w:color="E5DDD0" w:sz="1"/>
              <w:right w:val="single" w:color="E5DDD0" w:sz="1"/>
            </w:tcBorders>
            <w:shd w:fill="EEF2FA" w:val="clear"/>
            <w:tcMar>
              <w:top w:type="dxa" w:w="80"/>
              <w:left w:type="dxa" w:w="100"/>
              <w:bottom w:type="dxa" w:w="80"/>
              <w:right w:type="dxa" w:w="80"/>
            </w:tcMar>
            <w:vAlign w:val="top"/>
          </w:tcPr>
          <w:p>
            <w:pPr>
              <w:jc w:val="center"/>
            </w:pPr>
            <w:r>
              <w:rPr>
                <w:rFonts w:ascii="Arial" w:cs="Arial" w:eastAsia="Arial" w:hAnsi="Arial"/>
                <w:sz w:val="26"/>
                <w:szCs w:val="26"/>
              </w:rPr>
              <w:t xml:space="preserve">+</w:t>
            </w:r>
          </w:p>
        </w:tc>
        <w:tc>
          <w:tcPr>
            <w:tcW w:type="dxa" w:w="2000"/>
            <w:tcBorders>
              <w:top w:val="single" w:color="E5DDD0" w:sz="1"/>
              <w:left w:val="single" w:color="E5DDD0" w:sz="1"/>
              <w:bottom w:val="single" w:color="E5DDD0" w:sz="1"/>
              <w:right w:val="single" w:color="E5DDD0" w:sz="1"/>
            </w:tcBorders>
            <w:shd w:fill="EEF2FA" w:val="clear"/>
            <w:tcMar>
              <w:top w:type="dxa" w:w="80"/>
              <w:left w:type="dxa" w:w="120"/>
              <w:bottom w:type="dxa" w:w="80"/>
              <w:right w:type="dxa" w:w="80"/>
            </w:tcMar>
          </w:tcPr>
          <w:p>
            <w:r>
              <w:rPr>
                <w:rFonts w:ascii="Arial" w:cs="Arial" w:eastAsia="Arial" w:hAnsi="Arial"/>
                <w:b/>
                <w:bCs/>
                <w:color w:val="1B3F7A"/>
                <w:sz w:val="21"/>
                <w:szCs w:val="21"/>
              </w:rPr>
              <w:t xml:space="preserve">5-Tab Output Architecture</w:t>
            </w:r>
          </w:p>
          <w:p>
            <w:r>
              <w:rPr>
                <w:rFonts w:ascii="Arial" w:cs="Arial" w:eastAsia="Arial" w:hAnsi="Arial"/>
                <w:b/>
                <w:bCs/>
                <w:color w:val="1B3F7A"/>
                <w:sz w:val="17"/>
                <w:szCs w:val="17"/>
              </w:rPr>
              <w:t xml:space="preserve">Positive</w:t>
            </w:r>
          </w:p>
        </w:tc>
        <w:tc>
          <w:tcPr>
            <w:tcW w:type="dxa" w:w="6880"/>
            <w:tcBorders>
              <w:top w:val="single" w:color="E5DDD0" w:sz="1"/>
              <w:left w:val="single" w:color="E5DDD0" w:sz="1"/>
              <w:bottom w:val="single" w:color="E5DDD0" w:sz="1"/>
              <w:right w:val="single" w:color="E5DDD0" w:sz="1"/>
            </w:tcBorders>
            <w:shd w:fill="EEF2FA" w:val="clear"/>
            <w:tcMar>
              <w:top w:type="dxa" w:w="80"/>
              <w:left w:type="dxa" w:w="120"/>
              <w:bottom w:type="dxa" w:w="80"/>
              <w:right w:type="dxa" w:w="120"/>
            </w:tcMar>
          </w:tcPr>
          <w:p>
            <w:r>
              <w:rPr>
                <w:rFonts w:ascii="Arial" w:cs="Arial" w:eastAsia="Arial" w:hAnsi="Arial"/>
                <w:color w:val="0C0F18"/>
                <w:sz w:val="20"/>
                <w:szCs w:val="20"/>
              </w:rPr>
              <w:t xml:space="preserve">The Overview/Professions/Industries/Timeline/Actions tab structure maps precisely to how professional users consume labour intelligence. It is one of the best-reasoned information architectures in the tool.</w:t>
            </w:r>
          </w:p>
        </w:tc>
      </w:tr>
      <w:tr>
        <w:tc>
          <w:tcPr>
            <w:tcW w:type="dxa" w:w="480"/>
            <w:tcBorders>
              <w:top w:val="single" w:color="E5DDD0" w:sz="1"/>
              <w:left w:val="single" w:color="E5DDD0" w:sz="1"/>
              <w:bottom w:val="single" w:color="E5DDD0" w:sz="1"/>
              <w:right w:val="single" w:color="E5DDD0" w:sz="1"/>
            </w:tcBorders>
            <w:shd w:fill="EEF2FA" w:val="clear"/>
            <w:tcMar>
              <w:top w:type="dxa" w:w="80"/>
              <w:left w:type="dxa" w:w="100"/>
              <w:bottom w:type="dxa" w:w="80"/>
              <w:right w:type="dxa" w:w="80"/>
            </w:tcMar>
            <w:vAlign w:val="top"/>
          </w:tcPr>
          <w:p>
            <w:pPr>
              <w:jc w:val="center"/>
            </w:pPr>
            <w:r>
              <w:rPr>
                <w:rFonts w:ascii="Arial" w:cs="Arial" w:eastAsia="Arial" w:hAnsi="Arial"/>
                <w:sz w:val="26"/>
                <w:szCs w:val="26"/>
              </w:rPr>
              <w:t xml:space="preserve">+</w:t>
            </w:r>
          </w:p>
        </w:tc>
        <w:tc>
          <w:tcPr>
            <w:tcW w:type="dxa" w:w="2000"/>
            <w:tcBorders>
              <w:top w:val="single" w:color="E5DDD0" w:sz="1"/>
              <w:left w:val="single" w:color="E5DDD0" w:sz="1"/>
              <w:bottom w:val="single" w:color="E5DDD0" w:sz="1"/>
              <w:right w:val="single" w:color="E5DDD0" w:sz="1"/>
            </w:tcBorders>
            <w:shd w:fill="EEF2FA" w:val="clear"/>
            <w:tcMar>
              <w:top w:type="dxa" w:w="80"/>
              <w:left w:type="dxa" w:w="120"/>
              <w:bottom w:type="dxa" w:w="80"/>
              <w:right w:type="dxa" w:w="80"/>
            </w:tcMar>
          </w:tcPr>
          <w:p>
            <w:r>
              <w:rPr>
                <w:rFonts w:ascii="Arial" w:cs="Arial" w:eastAsia="Arial" w:hAnsi="Arial"/>
                <w:b/>
                <w:bCs/>
                <w:color w:val="1B3F7A"/>
                <w:sz w:val="21"/>
                <w:szCs w:val="21"/>
              </w:rPr>
              <w:t xml:space="preserve">Production Engineering</w:t>
            </w:r>
          </w:p>
          <w:p>
            <w:r>
              <w:rPr>
                <w:rFonts w:ascii="Arial" w:cs="Arial" w:eastAsia="Arial" w:hAnsi="Arial"/>
                <w:b/>
                <w:bCs/>
                <w:color w:val="1B3F7A"/>
                <w:sz w:val="17"/>
                <w:szCs w:val="17"/>
              </w:rPr>
              <w:t xml:space="preserve">Positive</w:t>
            </w:r>
          </w:p>
        </w:tc>
        <w:tc>
          <w:tcPr>
            <w:tcW w:type="dxa" w:w="6880"/>
            <w:tcBorders>
              <w:top w:val="single" w:color="E5DDD0" w:sz="1"/>
              <w:left w:val="single" w:color="E5DDD0" w:sz="1"/>
              <w:bottom w:val="single" w:color="E5DDD0" w:sz="1"/>
              <w:right w:val="single" w:color="E5DDD0" w:sz="1"/>
            </w:tcBorders>
            <w:shd w:fill="EEF2FA" w:val="clear"/>
            <w:tcMar>
              <w:top w:type="dxa" w:w="80"/>
              <w:left w:type="dxa" w:w="120"/>
              <w:bottom w:type="dxa" w:w="80"/>
              <w:right w:type="dxa" w:w="120"/>
            </w:tcMar>
          </w:tcPr>
          <w:p>
            <w:r>
              <w:rPr>
                <w:rFonts w:ascii="Arial" w:cs="Arial" w:eastAsia="Arial" w:hAnsi="Arial"/>
                <w:color w:val="0C0F18"/>
                <w:sz w:val="20"/>
                <w:szCs w:val="20"/>
              </w:rPr>
              <w:t xml:space="preserve">Abort controller, 4-pass JSON parser, session state persistence, CSV export with UTF-8 BOM, print stylesheet, XSS sanitization, and keyboard shortcuts indicate genuine production engineering intent.</w:t>
            </w:r>
          </w:p>
        </w:tc>
      </w:tr>
      <w:tr>
        <w:tc>
          <w:tcPr>
            <w:tcW w:type="dxa" w:w="480"/>
            <w:tcBorders>
              <w:top w:val="single" w:color="E5DDD0" w:sz="1"/>
              <w:left w:val="single" w:color="E5DDD0" w:sz="1"/>
              <w:bottom w:val="single" w:color="E5DDD0" w:sz="1"/>
              <w:right w:val="single" w:color="E5DDD0" w:sz="1"/>
            </w:tcBorders>
            <w:shd w:fill="FDF0F0" w:val="clear"/>
            <w:tcMar>
              <w:top w:type="dxa" w:w="80"/>
              <w:left w:type="dxa" w:w="100"/>
              <w:bottom w:type="dxa" w:w="80"/>
              <w:right w:type="dxa" w:w="80"/>
            </w:tcMar>
            <w:vAlign w:val="top"/>
          </w:tcPr>
          <w:p>
            <w:pPr>
              <w:jc w:val="center"/>
            </w:pPr>
            <w:r>
              <w:rPr>
                <w:rFonts w:ascii="Arial" w:cs="Arial" w:eastAsia="Arial" w:hAnsi="Arial"/>
                <w:sz w:val="26"/>
                <w:szCs w:val="26"/>
              </w:rPr>
              <w:t xml:space="preserve">!</w:t>
            </w:r>
          </w:p>
        </w:tc>
        <w:tc>
          <w:tcPr>
            <w:tcW w:type="dxa" w:w="2000"/>
            <w:tcBorders>
              <w:top w:val="single" w:color="E5DDD0" w:sz="1"/>
              <w:left w:val="single" w:color="E5DDD0" w:sz="1"/>
              <w:bottom w:val="single" w:color="E5DDD0" w:sz="1"/>
              <w:right w:val="single" w:color="E5DDD0" w:sz="1"/>
            </w:tcBorders>
            <w:shd w:fill="FDF0F0" w:val="clear"/>
            <w:tcMar>
              <w:top w:type="dxa" w:w="80"/>
              <w:left w:type="dxa" w:w="120"/>
              <w:bottom w:type="dxa" w:w="80"/>
              <w:right w:type="dxa" w:w="80"/>
            </w:tcMar>
          </w:tcPr>
          <w:p>
            <w:r>
              <w:rPr>
                <w:rFonts w:ascii="Arial" w:cs="Arial" w:eastAsia="Arial" w:hAnsi="Arial"/>
                <w:b/>
                <w:bCs/>
                <w:color w:val="8B1D2F"/>
                <w:sz w:val="21"/>
                <w:szCs w:val="21"/>
              </w:rPr>
              <w:t xml:space="preserve">Mock Icon Regression</w:t>
            </w:r>
          </w:p>
          <w:p>
            <w:r>
              <w:rPr>
                <w:rFonts w:ascii="Arial" w:cs="Arial" w:eastAsia="Arial" w:hAnsi="Arial"/>
                <w:b/>
                <w:bCs/>
                <w:color w:val="8B1D2F"/>
                <w:sz w:val="17"/>
                <w:szCs w:val="17"/>
              </w:rPr>
              <w:t xml:space="preserve">High</w:t>
            </w:r>
          </w:p>
        </w:tc>
        <w:tc>
          <w:tcPr>
            <w:tcW w:type="dxa" w:w="6880"/>
            <w:tcBorders>
              <w:top w:val="single" w:color="E5DDD0" w:sz="1"/>
              <w:left w:val="single" w:color="E5DDD0" w:sz="1"/>
              <w:bottom w:val="single" w:color="E5DDD0" w:sz="1"/>
              <w:right w:val="single" w:color="E5DDD0" w:sz="1"/>
            </w:tcBorders>
            <w:shd w:fill="FDF0F0" w:val="clear"/>
            <w:tcMar>
              <w:top w:type="dxa" w:w="80"/>
              <w:left w:type="dxa" w:w="120"/>
              <w:bottom w:type="dxa" w:w="80"/>
              <w:right w:type="dxa" w:w="120"/>
            </w:tcMar>
          </w:tcPr>
          <w:p>
            <w:r>
              <w:rPr>
                <w:rFonts w:ascii="Arial" w:cs="Arial" w:eastAsia="Arial" w:hAnsi="Arial"/>
                <w:color w:val="0C0F18"/>
                <w:sz w:val="20"/>
                <w:szCs w:val="20"/>
              </w:rPr>
              <w:t xml:space="preserve">PRIORITY FIX REQUIRED. All 18 profession and 10 industry icons in the mock dataset were replaced with plain English words ('fish', 'truck', 'barrel') during the ASCII safety rebuild. Every demo user will see broken icon fields. Fix: restore emoji in mock data (safe in JSON.parse backtick strings) or map icon strings to emoji in renderResults.</w:t>
            </w:r>
          </w:p>
        </w:tc>
      </w:tr>
      <w:tr>
        <w:tc>
          <w:tcPr>
            <w:tcW w:type="dxa" w:w="480"/>
            <w:tcBorders>
              <w:top w:val="single" w:color="E5DDD0" w:sz="1"/>
              <w:left w:val="single" w:color="E5DDD0" w:sz="1"/>
              <w:bottom w:val="single" w:color="E5DDD0" w:sz="1"/>
              <w:right w:val="single" w:color="E5DDD0" w:sz="1"/>
            </w:tcBorders>
            <w:shd w:fill="FDF0F0" w:val="clear"/>
            <w:tcMar>
              <w:top w:type="dxa" w:w="80"/>
              <w:left w:type="dxa" w:w="100"/>
              <w:bottom w:type="dxa" w:w="80"/>
              <w:right w:type="dxa" w:w="80"/>
            </w:tcMar>
            <w:vAlign w:val="top"/>
          </w:tcPr>
          <w:p>
            <w:pPr>
              <w:jc w:val="center"/>
            </w:pPr>
            <w:r>
              <w:rPr>
                <w:rFonts w:ascii="Arial" w:cs="Arial" w:eastAsia="Arial" w:hAnsi="Arial"/>
                <w:sz w:val="26"/>
                <w:szCs w:val="26"/>
              </w:rPr>
              <w:t xml:space="preserve">!</w:t>
            </w:r>
          </w:p>
        </w:tc>
        <w:tc>
          <w:tcPr>
            <w:tcW w:type="dxa" w:w="2000"/>
            <w:tcBorders>
              <w:top w:val="single" w:color="E5DDD0" w:sz="1"/>
              <w:left w:val="single" w:color="E5DDD0" w:sz="1"/>
              <w:bottom w:val="single" w:color="E5DDD0" w:sz="1"/>
              <w:right w:val="single" w:color="E5DDD0" w:sz="1"/>
            </w:tcBorders>
            <w:shd w:fill="FDF0F0" w:val="clear"/>
            <w:tcMar>
              <w:top w:type="dxa" w:w="80"/>
              <w:left w:type="dxa" w:w="120"/>
              <w:bottom w:type="dxa" w:w="80"/>
              <w:right w:type="dxa" w:w="80"/>
            </w:tcMar>
          </w:tcPr>
          <w:p>
            <w:r>
              <w:rPr>
                <w:rFonts w:ascii="Arial" w:cs="Arial" w:eastAsia="Arial" w:hAnsi="Arial"/>
                <w:b/>
                <w:bCs/>
                <w:color w:val="8B1D2F"/>
                <w:sz w:val="21"/>
                <w:szCs w:val="21"/>
              </w:rPr>
              <w:t xml:space="preserve">No Source Citations</w:t>
            </w:r>
          </w:p>
          <w:p>
            <w:r>
              <w:rPr>
                <w:rFonts w:ascii="Arial" w:cs="Arial" w:eastAsia="Arial" w:hAnsi="Arial"/>
                <w:b/>
                <w:bCs/>
                <w:color w:val="8B1D2F"/>
                <w:sz w:val="17"/>
                <w:szCs w:val="17"/>
              </w:rPr>
              <w:t xml:space="preserve">High</w:t>
            </w:r>
          </w:p>
        </w:tc>
        <w:tc>
          <w:tcPr>
            <w:tcW w:type="dxa" w:w="6880"/>
            <w:tcBorders>
              <w:top w:val="single" w:color="E5DDD0" w:sz="1"/>
              <w:left w:val="single" w:color="E5DDD0" w:sz="1"/>
              <w:bottom w:val="single" w:color="E5DDD0" w:sz="1"/>
              <w:right w:val="single" w:color="E5DDD0" w:sz="1"/>
            </w:tcBorders>
            <w:shd w:fill="FDF0F0" w:val="clear"/>
            <w:tcMar>
              <w:top w:type="dxa" w:w="80"/>
              <w:left w:type="dxa" w:w="120"/>
              <w:bottom w:type="dxa" w:w="80"/>
              <w:right w:type="dxa" w:w="120"/>
            </w:tcMar>
          </w:tcPr>
          <w:p>
            <w:r>
              <w:rPr>
                <w:rFonts w:ascii="Arial" w:cs="Arial" w:eastAsia="Arial" w:hAnsi="Arial"/>
                <w:color w:val="0C0F18"/>
                <w:sz w:val="20"/>
                <w:szCs w:val="20"/>
              </w:rPr>
              <w:t xml:space="preserve">AI-generated statistics (e.g., 'every $10/bbl = 0.4% GDP cost', 'TPSO forecast -3.1%') are presented without attribution. For professional research use, this is a critical gap. Fix: add a Sources section to recommendations pane listing the institutional sources used in the event context.</w:t>
            </w:r>
          </w:p>
        </w:tc>
      </w:tr>
      <w:tr>
        <w:tc>
          <w:tcPr>
            <w:tcW w:type="dxa" w:w="480"/>
            <w:tcBorders>
              <w:top w:val="single" w:color="E5DDD0" w:sz="1"/>
              <w:left w:val="single" w:color="E5DDD0" w:sz="1"/>
              <w:bottom w:val="single" w:color="E5DDD0" w:sz="1"/>
              <w:right w:val="single" w:color="E5DDD0" w:sz="1"/>
            </w:tcBorders>
            <w:shd w:fill="FDF5EE" w:val="clear"/>
            <w:tcMar>
              <w:top w:type="dxa" w:w="80"/>
              <w:left w:type="dxa" w:w="100"/>
              <w:bottom w:type="dxa" w:w="80"/>
              <w:right w:type="dxa" w:w="80"/>
            </w:tcMar>
            <w:vAlign w:val="top"/>
          </w:tcPr>
          <w:p>
            <w:pPr>
              <w:jc w:val="center"/>
            </w:pPr>
            <w:r>
              <w:rPr>
                <w:rFonts w:ascii="Arial" w:cs="Arial" w:eastAsia="Arial" w:hAnsi="Arial"/>
                <w:sz w:val="26"/>
                <w:szCs w:val="26"/>
              </w:rPr>
              <w:t xml:space="preserve">~</w:t>
            </w:r>
          </w:p>
        </w:tc>
        <w:tc>
          <w:tcPr>
            <w:tcW w:type="dxa" w:w="2000"/>
            <w:tcBorders>
              <w:top w:val="single" w:color="E5DDD0" w:sz="1"/>
              <w:left w:val="single" w:color="E5DDD0" w:sz="1"/>
              <w:bottom w:val="single" w:color="E5DDD0" w:sz="1"/>
              <w:right w:val="single" w:color="E5DDD0" w:sz="1"/>
            </w:tcBorders>
            <w:shd w:fill="FDF5EE" w:val="clear"/>
            <w:tcMar>
              <w:top w:type="dxa" w:w="80"/>
              <w:left w:type="dxa" w:w="120"/>
              <w:bottom w:type="dxa" w:w="80"/>
              <w:right w:type="dxa" w:w="80"/>
            </w:tcMar>
          </w:tcPr>
          <w:p>
            <w:r>
              <w:rPr>
                <w:rFonts w:ascii="Arial" w:cs="Arial" w:eastAsia="Arial" w:hAnsi="Arial"/>
                <w:b/>
                <w:bCs/>
                <w:color w:val="B84C1A"/>
                <w:sz w:val="21"/>
                <w:szCs w:val="21"/>
              </w:rPr>
              <w:t xml:space="preserve">Comparison Feature Incomplete</w:t>
            </w:r>
          </w:p>
          <w:p>
            <w:r>
              <w:rPr>
                <w:rFonts w:ascii="Arial" w:cs="Arial" w:eastAsia="Arial" w:hAnsi="Arial"/>
                <w:b/>
                <w:bCs/>
                <w:color w:val="B84C1A"/>
                <w:sz w:val="17"/>
                <w:szCs w:val="17"/>
              </w:rPr>
              <w:t xml:space="preserve">Medium</w:t>
            </w:r>
          </w:p>
        </w:tc>
        <w:tc>
          <w:tcPr>
            <w:tcW w:type="dxa" w:w="6880"/>
            <w:tcBorders>
              <w:top w:val="single" w:color="E5DDD0" w:sz="1"/>
              <w:left w:val="single" w:color="E5DDD0" w:sz="1"/>
              <w:bottom w:val="single" w:color="E5DDD0" w:sz="1"/>
              <w:right w:val="single" w:color="E5DDD0" w:sz="1"/>
            </w:tcBorders>
            <w:shd w:fill="FDF5EE" w:val="clear"/>
            <w:tcMar>
              <w:top w:type="dxa" w:w="80"/>
              <w:left w:type="dxa" w:w="120"/>
              <w:bottom w:type="dxa" w:w="80"/>
              <w:right w:type="dxa" w:w="120"/>
            </w:tcMar>
          </w:tcPr>
          <w:p>
            <w:r>
              <w:rPr>
                <w:rFonts w:ascii="Arial" w:cs="Arial" w:eastAsia="Arial" w:hAnsi="Arial"/>
                <w:color w:val="0C0F18"/>
                <w:sz w:val="20"/>
                <w:szCs w:val="20"/>
              </w:rPr>
              <w:t xml:space="preserve">The Compare mode allows event selection and calls mock data correctly, but the renderCompare output table is untested at full scale and likely breaks on mobile. Given the high value of comparison (e.g., 'Hormuz crisis vs. US tariffs'), this feature warrants completion.</w:t>
            </w:r>
          </w:p>
        </w:tc>
      </w:tr>
      <w:tr>
        <w:tc>
          <w:tcPr>
            <w:tcW w:type="dxa" w:w="480"/>
            <w:tcBorders>
              <w:top w:val="single" w:color="E5DDD0" w:sz="1"/>
              <w:left w:val="single" w:color="E5DDD0" w:sz="1"/>
              <w:bottom w:val="single" w:color="E5DDD0" w:sz="1"/>
              <w:right w:val="single" w:color="E5DDD0" w:sz="1"/>
            </w:tcBorders>
            <w:shd w:fill="FDF5EE" w:val="clear"/>
            <w:tcMar>
              <w:top w:type="dxa" w:w="80"/>
              <w:left w:type="dxa" w:w="100"/>
              <w:bottom w:type="dxa" w:w="80"/>
              <w:right w:type="dxa" w:w="80"/>
            </w:tcMar>
            <w:vAlign w:val="top"/>
          </w:tcPr>
          <w:p>
            <w:pPr>
              <w:jc w:val="center"/>
            </w:pPr>
            <w:r>
              <w:rPr>
                <w:rFonts w:ascii="Arial" w:cs="Arial" w:eastAsia="Arial" w:hAnsi="Arial"/>
                <w:sz w:val="26"/>
                <w:szCs w:val="26"/>
              </w:rPr>
              <w:t xml:space="preserve">~</w:t>
            </w:r>
          </w:p>
        </w:tc>
        <w:tc>
          <w:tcPr>
            <w:tcW w:type="dxa" w:w="2000"/>
            <w:tcBorders>
              <w:top w:val="single" w:color="E5DDD0" w:sz="1"/>
              <w:left w:val="single" w:color="E5DDD0" w:sz="1"/>
              <w:bottom w:val="single" w:color="E5DDD0" w:sz="1"/>
              <w:right w:val="single" w:color="E5DDD0" w:sz="1"/>
            </w:tcBorders>
            <w:shd w:fill="FDF5EE" w:val="clear"/>
            <w:tcMar>
              <w:top w:type="dxa" w:w="80"/>
              <w:left w:type="dxa" w:w="120"/>
              <w:bottom w:type="dxa" w:w="80"/>
              <w:right w:type="dxa" w:w="80"/>
            </w:tcMar>
          </w:tcPr>
          <w:p>
            <w:r>
              <w:rPr>
                <w:rFonts w:ascii="Arial" w:cs="Arial" w:eastAsia="Arial" w:hAnsi="Arial"/>
                <w:b/>
                <w:bCs/>
                <w:color w:val="B84C1A"/>
                <w:sz w:val="21"/>
                <w:szCs w:val="21"/>
              </w:rPr>
              <w:t xml:space="preserve">Custom Event Discoverability</w:t>
            </w:r>
          </w:p>
          <w:p>
            <w:r>
              <w:rPr>
                <w:rFonts w:ascii="Arial" w:cs="Arial" w:eastAsia="Arial" w:hAnsi="Arial"/>
                <w:b/>
                <w:bCs/>
                <w:color w:val="B84C1A"/>
                <w:sz w:val="17"/>
                <w:szCs w:val="17"/>
              </w:rPr>
              <w:t xml:space="preserve">Medium</w:t>
            </w:r>
          </w:p>
        </w:tc>
        <w:tc>
          <w:tcPr>
            <w:tcW w:type="dxa" w:w="6880"/>
            <w:tcBorders>
              <w:top w:val="single" w:color="E5DDD0" w:sz="1"/>
              <w:left w:val="single" w:color="E5DDD0" w:sz="1"/>
              <w:bottom w:val="single" w:color="E5DDD0" w:sz="1"/>
              <w:right w:val="single" w:color="E5DDD0" w:sz="1"/>
            </w:tcBorders>
            <w:shd w:fill="FDF5EE" w:val="clear"/>
            <w:tcMar>
              <w:top w:type="dxa" w:w="80"/>
              <w:left w:type="dxa" w:w="120"/>
              <w:bottom w:type="dxa" w:w="80"/>
              <w:right w:type="dxa" w:w="120"/>
            </w:tcMar>
          </w:tcPr>
          <w:p>
            <w:r>
              <w:rPr>
                <w:rFonts w:ascii="Arial" w:cs="Arial" w:eastAsia="Arial" w:hAnsi="Arial"/>
                <w:color w:val="0C0F18"/>
                <w:sz w:val="20"/>
                <w:szCs w:val="20"/>
              </w:rPr>
              <w:t xml:space="preserve">The highest-value feature (custom event analysis) is buried at the bottom of the sidebar behind 18 pre-loaded events. New users may not find it. Fix: add a visible 'Analyse Any Event' call-to-action in the empty state or as a persistent button.</w:t>
            </w:r>
          </w:p>
        </w:tc>
      </w:tr>
      <w:tr>
        <w:tc>
          <w:tcPr>
            <w:tcW w:type="dxa" w:w="480"/>
            <w:tcBorders>
              <w:top w:val="single" w:color="E5DDD0" w:sz="1"/>
              <w:left w:val="single" w:color="E5DDD0" w:sz="1"/>
              <w:bottom w:val="single" w:color="E5DDD0" w:sz="1"/>
              <w:right w:val="single" w:color="E5DDD0" w:sz="1"/>
            </w:tcBorders>
            <w:shd w:fill="FDF5EE" w:val="clear"/>
            <w:tcMar>
              <w:top w:type="dxa" w:w="80"/>
              <w:left w:type="dxa" w:w="100"/>
              <w:bottom w:type="dxa" w:w="80"/>
              <w:right w:type="dxa" w:w="80"/>
            </w:tcMar>
            <w:vAlign w:val="top"/>
          </w:tcPr>
          <w:p>
            <w:pPr>
              <w:jc w:val="center"/>
            </w:pPr>
            <w:r>
              <w:rPr>
                <w:rFonts w:ascii="Arial" w:cs="Arial" w:eastAsia="Arial" w:hAnsi="Arial"/>
                <w:sz w:val="26"/>
                <w:szCs w:val="26"/>
              </w:rPr>
              <w:t xml:space="preserve">~</w:t>
            </w:r>
          </w:p>
        </w:tc>
        <w:tc>
          <w:tcPr>
            <w:tcW w:type="dxa" w:w="2000"/>
            <w:tcBorders>
              <w:top w:val="single" w:color="E5DDD0" w:sz="1"/>
              <w:left w:val="single" w:color="E5DDD0" w:sz="1"/>
              <w:bottom w:val="single" w:color="E5DDD0" w:sz="1"/>
              <w:right w:val="single" w:color="E5DDD0" w:sz="1"/>
            </w:tcBorders>
            <w:shd w:fill="FDF5EE" w:val="clear"/>
            <w:tcMar>
              <w:top w:type="dxa" w:w="80"/>
              <w:left w:type="dxa" w:w="120"/>
              <w:bottom w:type="dxa" w:w="80"/>
              <w:right w:type="dxa" w:w="80"/>
            </w:tcMar>
          </w:tcPr>
          <w:p>
            <w:r>
              <w:rPr>
                <w:rFonts w:ascii="Arial" w:cs="Arial" w:eastAsia="Arial" w:hAnsi="Arial"/>
                <w:b/>
                <w:bCs/>
                <w:color w:val="B84C1A"/>
                <w:sz w:val="21"/>
                <w:szCs w:val="21"/>
              </w:rPr>
              <w:t xml:space="preserve">Impact Score Unexplained</w:t>
            </w:r>
          </w:p>
          <w:p>
            <w:r>
              <w:rPr>
                <w:rFonts w:ascii="Arial" w:cs="Arial" w:eastAsia="Arial" w:hAnsi="Arial"/>
                <w:b/>
                <w:bCs/>
                <w:color w:val="B84C1A"/>
                <w:sz w:val="17"/>
                <w:szCs w:val="17"/>
              </w:rPr>
              <w:t xml:space="preserve">Medium</w:t>
            </w:r>
          </w:p>
        </w:tc>
        <w:tc>
          <w:tcPr>
            <w:tcW w:type="dxa" w:w="6880"/>
            <w:tcBorders>
              <w:top w:val="single" w:color="E5DDD0" w:sz="1"/>
              <w:left w:val="single" w:color="E5DDD0" w:sz="1"/>
              <w:bottom w:val="single" w:color="E5DDD0" w:sz="1"/>
              <w:right w:val="single" w:color="E5DDD0" w:sz="1"/>
            </w:tcBorders>
            <w:shd w:fill="FDF5EE" w:val="clear"/>
            <w:tcMar>
              <w:top w:type="dxa" w:w="80"/>
              <w:left w:type="dxa" w:w="120"/>
              <w:bottom w:type="dxa" w:w="80"/>
              <w:right w:type="dxa" w:w="120"/>
            </w:tcMar>
          </w:tcPr>
          <w:p>
            <w:r>
              <w:rPr>
                <w:rFonts w:ascii="Arial" w:cs="Arial" w:eastAsia="Arial" w:hAnsi="Arial"/>
                <w:color w:val="0C0F18"/>
                <w:sz w:val="20"/>
                <w:szCs w:val="20"/>
              </w:rPr>
              <w:t xml:space="preserve">The -100 to +100 impact score is displayed prominently but never explained. Users cannot calibrate what ‒78 means relative to –45. Fix: add a score legend or tooltip (e.g., 'Below -60 = severe disruption affecting primary income of affected workers').</w:t>
            </w:r>
          </w:p>
        </w:tc>
      </w:tr>
      <w:tr>
        <w:tc>
          <w:tcPr>
            <w:tcW w:type="dxa" w:w="480"/>
            <w:tcBorders>
              <w:top w:val="single" w:color="E5DDD0" w:sz="1"/>
              <w:left w:val="single" w:color="E5DDD0" w:sz="1"/>
              <w:bottom w:val="single" w:color="E5DDD0" w:sz="1"/>
              <w:right w:val="single" w:color="E5DDD0" w:sz="1"/>
            </w:tcBorders>
            <w:shd w:fill="EEF7F1" w:val="clear"/>
            <w:tcMar>
              <w:top w:type="dxa" w:w="80"/>
              <w:left w:type="dxa" w:w="100"/>
              <w:bottom w:type="dxa" w:w="80"/>
              <w:right w:type="dxa" w:w="80"/>
            </w:tcMar>
            <w:vAlign w:val="top"/>
          </w:tcPr>
          <w:p>
            <w:pPr>
              <w:jc w:val="center"/>
            </w:pPr>
            <w:r>
              <w:rPr>
                <w:rFonts w:ascii="Arial" w:cs="Arial" w:eastAsia="Arial" w:hAnsi="Arial"/>
                <w:sz w:val="26"/>
                <w:szCs w:val="26"/>
              </w:rPr>
              <w:t xml:space="preserve">i</w:t>
            </w:r>
          </w:p>
        </w:tc>
        <w:tc>
          <w:tcPr>
            <w:tcW w:type="dxa" w:w="2000"/>
            <w:tcBorders>
              <w:top w:val="single" w:color="E5DDD0" w:sz="1"/>
              <w:left w:val="single" w:color="E5DDD0" w:sz="1"/>
              <w:bottom w:val="single" w:color="E5DDD0" w:sz="1"/>
              <w:right w:val="single" w:color="E5DDD0" w:sz="1"/>
            </w:tcBorders>
            <w:shd w:fill="EEF7F1" w:val="clear"/>
            <w:tcMar>
              <w:top w:type="dxa" w:w="80"/>
              <w:left w:type="dxa" w:w="120"/>
              <w:bottom w:type="dxa" w:w="80"/>
              <w:right w:type="dxa" w:w="80"/>
            </w:tcMar>
          </w:tcPr>
          <w:p>
            <w:r>
              <w:rPr>
                <w:rFonts w:ascii="Arial" w:cs="Arial" w:eastAsia="Arial" w:hAnsi="Arial"/>
                <w:b/>
                <w:bCs/>
                <w:color w:val="1A6B3C"/>
                <w:sz w:val="21"/>
                <w:szCs w:val="21"/>
              </w:rPr>
              <w:t xml:space="preserve">No Cross-Session Caching</w:t>
            </w:r>
          </w:p>
          <w:p>
            <w:r>
              <w:rPr>
                <w:rFonts w:ascii="Arial" w:cs="Arial" w:eastAsia="Arial" w:hAnsi="Arial"/>
                <w:b/>
                <w:bCs/>
                <w:color w:val="1A6B3C"/>
                <w:sz w:val="17"/>
                <w:szCs w:val="17"/>
              </w:rPr>
              <w:t xml:space="preserve">Low</w:t>
            </w:r>
          </w:p>
        </w:tc>
        <w:tc>
          <w:tcPr>
            <w:tcW w:type="dxa" w:w="6880"/>
            <w:tcBorders>
              <w:top w:val="single" w:color="E5DDD0" w:sz="1"/>
              <w:left w:val="single" w:color="E5DDD0" w:sz="1"/>
              <w:bottom w:val="single" w:color="E5DDD0" w:sz="1"/>
              <w:right w:val="single" w:color="E5DDD0" w:sz="1"/>
            </w:tcBorders>
            <w:shd w:fill="EEF7F1" w:val="clear"/>
            <w:tcMar>
              <w:top w:type="dxa" w:w="80"/>
              <w:left w:type="dxa" w:w="120"/>
              <w:bottom w:type="dxa" w:w="80"/>
              <w:right w:type="dxa" w:w="120"/>
            </w:tcMar>
          </w:tcPr>
          <w:p>
            <w:r>
              <w:rPr>
                <w:rFonts w:ascii="Arial" w:cs="Arial" w:eastAsia="Arial" w:hAnsi="Arial"/>
                <w:color w:val="0C0F18"/>
                <w:sz w:val="20"/>
                <w:szCs w:val="20"/>
              </w:rPr>
              <w:t xml:space="preserve">Each event analysis re-costs API tokens even if analyzed yesterday. With 18 events at ~$0.02 each, a researcher reviewing all events pays ~$0.36 per session. Fix: extend session storage to localStorage with a 24-hour TTL per event key.</w:t>
            </w:r>
          </w:p>
        </w:tc>
      </w:tr>
      <w:tr>
        <w:tc>
          <w:tcPr>
            <w:tcW w:type="dxa" w:w="480"/>
            <w:tcBorders>
              <w:top w:val="single" w:color="E5DDD0" w:sz="1"/>
              <w:left w:val="single" w:color="E5DDD0" w:sz="1"/>
              <w:bottom w:val="single" w:color="E5DDD0" w:sz="1"/>
              <w:right w:val="single" w:color="E5DDD0" w:sz="1"/>
            </w:tcBorders>
            <w:shd w:fill="EEF7F1" w:val="clear"/>
            <w:tcMar>
              <w:top w:type="dxa" w:w="80"/>
              <w:left w:type="dxa" w:w="100"/>
              <w:bottom w:type="dxa" w:w="80"/>
              <w:right w:type="dxa" w:w="80"/>
            </w:tcMar>
            <w:vAlign w:val="top"/>
          </w:tcPr>
          <w:p>
            <w:pPr>
              <w:jc w:val="center"/>
            </w:pPr>
            <w:r>
              <w:rPr>
                <w:rFonts w:ascii="Arial" w:cs="Arial" w:eastAsia="Arial" w:hAnsi="Arial"/>
                <w:sz w:val="26"/>
                <w:szCs w:val="26"/>
              </w:rPr>
              <w:t xml:space="preserve">i</w:t>
            </w:r>
          </w:p>
        </w:tc>
        <w:tc>
          <w:tcPr>
            <w:tcW w:type="dxa" w:w="2000"/>
            <w:tcBorders>
              <w:top w:val="single" w:color="E5DDD0" w:sz="1"/>
              <w:left w:val="single" w:color="E5DDD0" w:sz="1"/>
              <w:bottom w:val="single" w:color="E5DDD0" w:sz="1"/>
              <w:right w:val="single" w:color="E5DDD0" w:sz="1"/>
            </w:tcBorders>
            <w:shd w:fill="EEF7F1" w:val="clear"/>
            <w:tcMar>
              <w:top w:type="dxa" w:w="80"/>
              <w:left w:type="dxa" w:w="120"/>
              <w:bottom w:type="dxa" w:w="80"/>
              <w:right w:type="dxa" w:w="80"/>
            </w:tcMar>
          </w:tcPr>
          <w:p>
            <w:r>
              <w:rPr>
                <w:rFonts w:ascii="Arial" w:cs="Arial" w:eastAsia="Arial" w:hAnsi="Arial"/>
                <w:b/>
                <w:bCs/>
                <w:color w:val="1A6B3C"/>
                <w:sz w:val="21"/>
                <w:szCs w:val="21"/>
              </w:rPr>
              <w:t xml:space="preserve">Confidence Interval Framing</w:t>
            </w:r>
          </w:p>
          <w:p>
            <w:r>
              <w:rPr>
                <w:rFonts w:ascii="Arial" w:cs="Arial" w:eastAsia="Arial" w:hAnsi="Arial"/>
                <w:b/>
                <w:bCs/>
                <w:color w:val="1A6B3C"/>
                <w:sz w:val="17"/>
                <w:szCs w:val="17"/>
              </w:rPr>
              <w:t xml:space="preserve">Low</w:t>
            </w:r>
          </w:p>
        </w:tc>
        <w:tc>
          <w:tcPr>
            <w:tcW w:type="dxa" w:w="6880"/>
            <w:tcBorders>
              <w:top w:val="single" w:color="E5DDD0" w:sz="1"/>
              <w:left w:val="single" w:color="E5DDD0" w:sz="1"/>
              <w:bottom w:val="single" w:color="E5DDD0" w:sz="1"/>
              <w:right w:val="single" w:color="E5DDD0" w:sz="1"/>
            </w:tcBorders>
            <w:shd w:fill="EEF7F1" w:val="clear"/>
            <w:tcMar>
              <w:top w:type="dxa" w:w="80"/>
              <w:left w:type="dxa" w:w="120"/>
              <w:bottom w:type="dxa" w:w="80"/>
              <w:right w:type="dxa" w:w="120"/>
            </w:tcMar>
          </w:tcPr>
          <w:p>
            <w:r>
              <w:rPr>
                <w:rFonts w:ascii="Arial" w:cs="Arial" w:eastAsia="Arial" w:hAnsi="Arial"/>
                <w:color w:val="0C0F18"/>
                <w:sz w:val="20"/>
                <w:szCs w:val="20"/>
              </w:rPr>
              <w:t xml:space="preserve">Quantitative outputs (e.g., '‒35% to ‒55% wage impact') are presented with precise formatting that implies empirical measurement. Adding a brief disclosure ('AI-estimated ranges, not survey data') would improve epistemic honesty without reducing utility.</w:t>
            </w:r>
          </w:p>
        </w:tc>
      </w:tr>
      <w:tr>
        <w:tc>
          <w:tcPr>
            <w:tcW w:type="dxa" w:w="480"/>
            <w:tcBorders>
              <w:top w:val="single" w:color="E5DDD0" w:sz="1"/>
              <w:left w:val="single" w:color="E5DDD0" w:sz="1"/>
              <w:bottom w:val="single" w:color="E5DDD0" w:sz="1"/>
              <w:right w:val="single" w:color="E5DDD0" w:sz="1"/>
            </w:tcBorders>
            <w:shd w:fill="EEF7F1" w:val="clear"/>
            <w:tcMar>
              <w:top w:type="dxa" w:w="80"/>
              <w:left w:type="dxa" w:w="100"/>
              <w:bottom w:type="dxa" w:w="80"/>
              <w:right w:type="dxa" w:w="80"/>
            </w:tcMar>
            <w:vAlign w:val="top"/>
          </w:tcPr>
          <w:p>
            <w:pPr>
              <w:jc w:val="center"/>
            </w:pPr>
            <w:r>
              <w:rPr>
                <w:rFonts w:ascii="Arial" w:cs="Arial" w:eastAsia="Arial" w:hAnsi="Arial"/>
                <w:sz w:val="26"/>
                <w:szCs w:val="26"/>
              </w:rPr>
              <w:t xml:space="preserve">i</w:t>
            </w:r>
          </w:p>
        </w:tc>
        <w:tc>
          <w:tcPr>
            <w:tcW w:type="dxa" w:w="2000"/>
            <w:tcBorders>
              <w:top w:val="single" w:color="E5DDD0" w:sz="1"/>
              <w:left w:val="single" w:color="E5DDD0" w:sz="1"/>
              <w:bottom w:val="single" w:color="E5DDD0" w:sz="1"/>
              <w:right w:val="single" w:color="E5DDD0" w:sz="1"/>
            </w:tcBorders>
            <w:shd w:fill="EEF7F1" w:val="clear"/>
            <w:tcMar>
              <w:top w:type="dxa" w:w="80"/>
              <w:left w:type="dxa" w:w="120"/>
              <w:bottom w:type="dxa" w:w="80"/>
              <w:right w:type="dxa" w:w="80"/>
            </w:tcMar>
          </w:tcPr>
          <w:p>
            <w:r>
              <w:rPr>
                <w:rFonts w:ascii="Arial" w:cs="Arial" w:eastAsia="Arial" w:hAnsi="Arial"/>
                <w:b/>
                <w:bCs/>
                <w:color w:val="1A6B3C"/>
                <w:sz w:val="21"/>
                <w:szCs w:val="21"/>
              </w:rPr>
              <w:t xml:space="preserve">Sidebar Not Collapsible</w:t>
            </w:r>
          </w:p>
          <w:p>
            <w:r>
              <w:rPr>
                <w:rFonts w:ascii="Arial" w:cs="Arial" w:eastAsia="Arial" w:hAnsi="Arial"/>
                <w:b/>
                <w:bCs/>
                <w:color w:val="1A6B3C"/>
                <w:sz w:val="17"/>
                <w:szCs w:val="17"/>
              </w:rPr>
              <w:t xml:space="preserve">Low</w:t>
            </w:r>
          </w:p>
        </w:tc>
        <w:tc>
          <w:tcPr>
            <w:tcW w:type="dxa" w:w="6880"/>
            <w:tcBorders>
              <w:top w:val="single" w:color="E5DDD0" w:sz="1"/>
              <w:left w:val="single" w:color="E5DDD0" w:sz="1"/>
              <w:bottom w:val="single" w:color="E5DDD0" w:sz="1"/>
              <w:right w:val="single" w:color="E5DDD0" w:sz="1"/>
            </w:tcBorders>
            <w:shd w:fill="EEF7F1" w:val="clear"/>
            <w:tcMar>
              <w:top w:type="dxa" w:w="80"/>
              <w:left w:type="dxa" w:w="120"/>
              <w:bottom w:type="dxa" w:w="80"/>
              <w:right w:type="dxa" w:w="120"/>
            </w:tcMar>
          </w:tcPr>
          <w:p>
            <w:r>
              <w:rPr>
                <w:rFonts w:ascii="Arial" w:cs="Arial" w:eastAsia="Arial" w:hAnsi="Arial"/>
                <w:color w:val="0C0F18"/>
                <w:sz w:val="20"/>
                <w:szCs w:val="20"/>
              </w:rPr>
              <w:t xml:space="preserve">On 13-inch laptops, the fixed 308px sidebar compresses content area significantly. A collapse toggle would improve usability for the laptop-primary professional user.</w:t>
            </w:r>
          </w:p>
        </w:tc>
      </w:tr>
    </w:tbl>
    <w:p>
      <w:pPr>
        <w:spacing w:after="200"/>
      </w:pPr>
    </w:p>
    <w:p>
      <w:pPr>
        <w:pBdr>
          <w:bottom w:val="single" w:color="CCCCCC" w:sz="4" w:space="1"/>
        </w:pBdr>
        <w:spacing w:before="160" w:after="160"/>
      </w:pPr>
    </w:p>
    <w:p>
      <w:pPr>
        <w:pStyle w:val="Heading1"/>
        <w:spacing w:before="300" w:after="120"/>
      </w:pPr>
      <w:r>
        <w:rPr>
          <w:rFonts w:ascii="Arial" w:cs="Arial" w:eastAsia="Arial" w:hAnsi="Arial"/>
          <w:b/>
          <w:bCs/>
          <w:color w:val="0C0F18"/>
          <w:sz w:val="36"/>
          <w:szCs w:val="36"/>
        </w:rPr>
        <w:t xml:space="preserve">7. Commercial &amp; Deployment Potential</w:t>
      </w:r>
    </w:p>
    <w:p>
      <w:pPr>
        <w:pStyle w:val="Heading2"/>
        <w:spacing w:before="300" w:after="120"/>
      </w:pPr>
      <w:r>
        <w:rPr>
          <w:rFonts w:ascii="Arial" w:cs="Arial" w:eastAsia="Arial" w:hAnsi="Arial"/>
          <w:b/>
          <w:bCs/>
          <w:color w:val="0C0F18"/>
          <w:sz w:val="28"/>
          <w:szCs w:val="28"/>
        </w:rPr>
        <w:t xml:space="preserve">7.1 Deployment Paths</w:t>
      </w:r>
    </w:p>
    <w:p>
      <w:pPr>
        <w:pStyle w:val="Normal"/>
        <w:spacing w:after="140"/>
      </w:pPr>
      <w:r>
        <w:rPr>
          <w:rFonts w:ascii="Arial" w:cs="Arial" w:eastAsia="Arial" w:hAnsi="Arial"/>
          <w:color w:val="0C0F18"/>
          <w:sz w:val="22"/>
          <w:szCs w:val="22"/>
        </w:rPr>
        <w:t xml:space="preserve">Four viable deployment paths exist, in ascending order of complexity:</w:t>
      </w:r>
    </w:p>
    <w:p>
      <w:pPr>
        <w:pStyle w:val="ListParagraph"/>
        <w:numPr>
          <w:ilvl w:val="0"/>
          <w:numId w:val="3"/>
        </w:numPr>
        <w:spacing w:after="80"/>
      </w:pPr>
      <w:r>
        <w:rPr>
          <w:rFonts w:ascii="Arial" w:cs="Arial" w:eastAsia="Arial" w:hAnsi="Arial"/>
          <w:color w:val="0C0F18"/>
          <w:sz w:val="21"/>
          <w:szCs w:val="21"/>
        </w:rPr>
        <w:t xml:space="preserve">Personal research tool (current state): Researcher uses own API key, downloads HTML, analyses events locally. Zero infrastructure cost. Viable immediately.</w:t>
      </w:r>
    </w:p>
    <w:p>
      <w:pPr>
        <w:pStyle w:val="ListParagraph"/>
        <w:numPr>
          <w:ilvl w:val="0"/>
          <w:numId w:val="3"/>
        </w:numPr>
        <w:spacing w:after="80"/>
      </w:pPr>
      <w:r>
        <w:rPr>
          <w:rFonts w:ascii="Arial" w:cs="Arial" w:eastAsia="Arial" w:hAnsi="Arial"/>
          <w:color w:val="0C0F18"/>
          <w:sz w:val="21"/>
          <w:szCs w:val="21"/>
        </w:rPr>
        <w:t xml:space="preserve">Organisational tool: Download and distribute internally within ILO Thailand, World Bank Thailand, or a multinational's Thailand HR team. Add organisation-specific events. No infrastructure required beyond file sharing.</w:t>
      </w:r>
    </w:p>
    <w:p>
      <w:pPr>
        <w:pStyle w:val="ListParagraph"/>
        <w:numPr>
          <w:ilvl w:val="0"/>
          <w:numId w:val="3"/>
        </w:numPr>
        <w:spacing w:after="80"/>
      </w:pPr>
      <w:r>
        <w:rPr>
          <w:rFonts w:ascii="Arial" w:cs="Arial" w:eastAsia="Arial" w:hAnsi="Arial"/>
          <w:color w:val="0C0F18"/>
          <w:sz w:val="21"/>
          <w:szCs w:val="21"/>
        </w:rPr>
        <w:t xml:space="preserve">Hosted API-backed web service: Backend holds encrypted API key, users authenticate, analyses cached server-side. Removes API key exposure, enables shared analysis history and team annotations. Requires ~40 hours of engineering to build the thin backend layer.</w:t>
      </w:r>
    </w:p>
    <w:p>
      <w:pPr>
        <w:pStyle w:val="ListParagraph"/>
        <w:numPr>
          <w:ilvl w:val="0"/>
          <w:numId w:val="3"/>
        </w:numPr>
        <w:spacing w:after="80"/>
      </w:pPr>
      <w:r>
        <w:rPr>
          <w:rFonts w:ascii="Arial" w:cs="Arial" w:eastAsia="Arial" w:hAnsi="Arial"/>
          <w:color w:val="0C0F18"/>
          <w:sz w:val="21"/>
          <w:szCs w:val="21"/>
        </w:rPr>
        <w:t xml:space="preserve">Licensed SaaS platform: Per-seat subscription for research institutions and consulting firms. Requires user management, analysis history, expanded event coverage, and formal data governance. 6-12 months of development for a credible v1.</w:t>
      </w:r>
    </w:p>
    <w:p>
      <w:pPr>
        <w:pStyle w:val="Heading2"/>
        <w:spacing w:before="300" w:after="120"/>
      </w:pPr>
      <w:r>
        <w:rPr>
          <w:rFonts w:ascii="Arial" w:cs="Arial" w:eastAsia="Arial" w:hAnsi="Arial"/>
          <w:b/>
          <w:bCs/>
          <w:color w:val="0C0F18"/>
          <w:sz w:val="28"/>
          <w:szCs w:val="28"/>
        </w:rPr>
        <w:t xml:space="preserve">7.2 Revenue Potential</w:t>
      </w:r>
    </w:p>
    <w:p>
      <w:pPr>
        <w:pStyle w:val="Normal"/>
        <w:spacing w:after="140"/>
      </w:pPr>
      <w:r>
        <w:rPr>
          <w:rFonts w:ascii="Arial" w:cs="Arial" w:eastAsia="Arial" w:hAnsi="Arial"/>
          <w:color w:val="0C0F18"/>
          <w:sz w:val="22"/>
          <w:szCs w:val="22"/>
        </w:rPr>
        <w:t xml:space="preserve">For a hosted SaaS at $299/month per seat targeting Thailand-focused research professionals:</w:t>
      </w:r>
    </w:p>
    <w:p>
      <w:pPr>
        <w:pStyle w:val="ListParagraph"/>
        <w:numPr>
          <w:ilvl w:val="0"/>
          <w:numId w:val="2"/>
        </w:numPr>
        <w:spacing w:after="80"/>
      </w:pPr>
      <w:r>
        <w:rPr>
          <w:rFonts w:ascii="Arial" w:cs="Arial" w:eastAsia="Arial" w:hAnsi="Arial"/>
          <w:b w:val="false"/>
          <w:bCs w:val="false"/>
          <w:color w:val="0C0F18"/>
          <w:sz w:val="21"/>
          <w:szCs w:val="21"/>
        </w:rPr>
        <w:t xml:space="preserve">ILO, World Bank, ADB Thailand offices: 5-10 seats each = $1,500-$3,000/month per org</w:t>
      </w:r>
    </w:p>
    <w:p>
      <w:pPr>
        <w:pStyle w:val="ListParagraph"/>
        <w:numPr>
          <w:ilvl w:val="0"/>
          <w:numId w:val="2"/>
        </w:numPr>
        <w:spacing w:after="80"/>
      </w:pPr>
      <w:r>
        <w:rPr>
          <w:rFonts w:ascii="Arial" w:cs="Arial" w:eastAsia="Arial" w:hAnsi="Arial"/>
          <w:b w:val="false"/>
          <w:bCs w:val="false"/>
          <w:color w:val="0C0F18"/>
          <w:sz w:val="21"/>
          <w:szCs w:val="21"/>
        </w:rPr>
        <w:t xml:space="preserve">Multinational auto OEMs with Thai operations (Toyota, Honda, Isuzu, Mitsubishi): 3-5 seats each for HR/government affairs = $900-$1,500/month per company</w:t>
      </w:r>
    </w:p>
    <w:p>
      <w:pPr>
        <w:pStyle w:val="ListParagraph"/>
        <w:numPr>
          <w:ilvl w:val="0"/>
          <w:numId w:val="2"/>
        </w:numPr>
        <w:spacing w:after="80"/>
      </w:pPr>
      <w:r>
        <w:rPr>
          <w:rFonts w:ascii="Arial" w:cs="Arial" w:eastAsia="Arial" w:hAnsi="Arial"/>
          <w:b w:val="false"/>
          <w:bCs w:val="false"/>
          <w:color w:val="0C0F18"/>
          <w:sz w:val="21"/>
          <w:szCs w:val="21"/>
        </w:rPr>
        <w:t xml:space="preserve">Thailand-focused investment funds and consultancies: 2-5 seats each</w:t>
      </w:r>
    </w:p>
    <w:p>
      <w:pPr>
        <w:pStyle w:val="ListParagraph"/>
        <w:numPr>
          <w:ilvl w:val="0"/>
          <w:numId w:val="2"/>
        </w:numPr>
        <w:spacing w:after="80"/>
      </w:pPr>
      <w:r>
        <w:rPr>
          <w:rFonts w:ascii="Arial" w:cs="Arial" w:eastAsia="Arial" w:hAnsi="Arial"/>
          <w:b w:val="false"/>
          <w:bCs w:val="false"/>
          <w:color w:val="0C0F18"/>
          <w:sz w:val="21"/>
          <w:szCs w:val="21"/>
        </w:rPr>
        <w:t xml:space="preserve">Conservative target: 50 seats at $299 = $14,950/month. Plausible within 12 months.</w:t>
      </w:r>
    </w:p>
    <w:p>
      <w:pPr>
        <w:pStyle w:val="Normal"/>
        <w:spacing w:after="140"/>
      </w:pPr>
      <w:r>
        <w:rPr>
          <w:rFonts w:ascii="Arial" w:cs="Arial" w:eastAsia="Arial" w:hAnsi="Arial"/>
          <w:b/>
          <w:bCs/>
          <w:i w:val="false"/>
          <w:iCs w:val="false"/>
          <w:color w:val="0C0F18"/>
          <w:sz w:val="22"/>
          <w:szCs w:val="22"/>
        </w:rPr>
        <w:t xml:space="preserve">At this scale the API costs are negligible: </w:t>
      </w:r>
      <w:r>
        <w:rPr>
          <w:rFonts w:ascii="Arial" w:cs="Arial" w:eastAsia="Arial" w:hAnsi="Arial"/>
          <w:b w:val="false"/>
          <w:bCs w:val="false"/>
          <w:i w:val="false"/>
          <w:iCs w:val="false"/>
          <w:color w:val="0C0F18"/>
          <w:sz w:val="22"/>
          <w:szCs w:val="22"/>
        </w:rPr>
        <w:t xml:space="preserve">50 users x 10 analyses/month x ~$0.025/analysis = ~$12.50/month in API costs against $14,950 revenue. Unit economics are extremely strong.</w:t>
      </w:r>
    </w:p>
    <w:p>
      <w:pPr>
        <w:pStyle w:val="Heading2"/>
        <w:spacing w:before="300" w:after="120"/>
      </w:pPr>
      <w:r>
        <w:rPr>
          <w:rFonts w:ascii="Arial" w:cs="Arial" w:eastAsia="Arial" w:hAnsi="Arial"/>
          <w:b/>
          <w:bCs/>
          <w:color w:val="0C0F18"/>
          <w:sz w:val="28"/>
          <w:szCs w:val="28"/>
        </w:rPr>
        <w:t xml:space="preserve">7.3 Most Defensible Positioning</w:t>
      </w:r>
    </w:p>
    <w:p>
      <w:pPr>
        <w:pStyle w:val="Normal"/>
        <w:spacing w:after="140"/>
      </w:pPr>
      <w:r>
        <w:rPr>
          <w:rFonts w:ascii="Arial" w:cs="Arial" w:eastAsia="Arial" w:hAnsi="Arial"/>
          <w:b w:val="false"/>
          <w:bCs w:val="false"/>
          <w:i w:val="false"/>
          <w:iCs w:val="false"/>
          <w:color w:val="0C0F18"/>
          <w:sz w:val="22"/>
          <w:szCs w:val="22"/>
        </w:rPr>
        <w:t xml:space="preserve">The tool is most defensible as </w:t>
      </w:r>
      <w:r>
        <w:rPr>
          <w:rFonts w:ascii="Arial" w:cs="Arial" w:eastAsia="Arial" w:hAnsi="Arial"/>
          <w:b/>
          <w:bCs/>
          <w:i w:val="false"/>
          <w:iCs w:val="false"/>
          <w:color w:val="0C0F18"/>
          <w:sz w:val="22"/>
          <w:szCs w:val="22"/>
        </w:rPr>
        <w:t xml:space="preserve">'the only Thailand-specific macro-to-labour intelligence tool built on real 2025-2026 data'</w:t>
      </w:r>
      <w:r>
        <w:rPr>
          <w:rFonts w:ascii="Arial" w:cs="Arial" w:eastAsia="Arial" w:hAnsi="Arial"/>
          <w:b w:val="false"/>
          <w:bCs w:val="false"/>
          <w:i w:val="false"/>
          <w:iCs w:val="false"/>
          <w:color w:val="0C0F18"/>
          <w:sz w:val="22"/>
          <w:szCs w:val="22"/>
        </w:rPr>
        <w:t xml:space="preserve">. The editorial layer (18 events with verified context) is the actual moat, not the AI or the code. A competitor could replicate the code in 40 hours but cannot replicate the curated event database without equivalent domain research investment.</w:t>
      </w:r>
    </w:p>
    <w:p>
      <w:pPr>
        <w:pBdr>
          <w:bottom w:val="single" w:color="CCCCCC" w:sz="4" w:space="1"/>
        </w:pBdr>
        <w:spacing w:before="160" w:after="160"/>
      </w:pPr>
    </w:p>
    <w:p>
      <w:pPr>
        <w:pStyle w:val="Heading1"/>
        <w:spacing w:before="300" w:after="120"/>
      </w:pPr>
      <w:r>
        <w:rPr>
          <w:rFonts w:ascii="Arial" w:cs="Arial" w:eastAsia="Arial" w:hAnsi="Arial"/>
          <w:b/>
          <w:bCs/>
          <w:color w:val="0C0F18"/>
          <w:sz w:val="36"/>
          <w:szCs w:val="36"/>
        </w:rPr>
        <w:t xml:space="preserve">8. Priority Improvement Roadmap</w:t>
      </w:r>
    </w:p>
    <w:p>
      <w:pPr>
        <w:pStyle w:val="Normal"/>
        <w:spacing w:after="140"/>
      </w:pPr>
      <w:r>
        <w:rPr>
          <w:rFonts w:ascii="Arial" w:cs="Arial" w:eastAsia="Arial" w:hAnsi="Arial"/>
          <w:color w:val="0C0F18"/>
          <w:sz w:val="22"/>
          <w:szCs w:val="22"/>
        </w:rPr>
        <w:t xml:space="preserve">Ordered by impact-to-effort ratio: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4160"/>
        <w:gridCol w:w="1600"/>
      </w:tblGrid>
      <w:tr>
        <w:trPr>
          <w:tblHeader/>
        </w:trPr>
        <w:tc>
          <w:tcPr>
            <w:tcW w:type="dxa" w:w="400"/>
            <w:tcBorders>
              <w:top w:val="single" w:color="0C0F18" w:sz="1"/>
              <w:left w:val="single" w:color="0C0F18" w:sz="1"/>
              <w:bottom w:val="single" w:color="0C0F18" w:sz="1"/>
              <w:right w:val="single" w:color="0C0F18" w:sz="1"/>
            </w:tcBorders>
            <w:shd w:fill="0C0F18" w:val="clear"/>
            <w:tcMar>
              <w:top w:type="dxa" w:w="80"/>
              <w:left w:type="dxa" w:w="100"/>
              <w:bottom w:type="dxa" w:w="80"/>
              <w:right w:type="dxa" w:w="100"/>
            </w:tcMar>
          </w:tcPr>
          <w:p>
            <w:r>
              <w:rPr>
                <w:rFonts w:ascii="Arial" w:cs="Arial" w:eastAsia="Arial" w:hAnsi="Arial"/>
                <w:b/>
                <w:bCs/>
                <w:color w:val="FFFFFF"/>
                <w:sz w:val="20"/>
                <w:szCs w:val="20"/>
              </w:rPr>
              <w:t xml:space="preserve">Priority</w:t>
            </w:r>
          </w:p>
        </w:tc>
        <w:tc>
          <w:tcPr>
            <w:tcW w:type="dxa" w:w="3200"/>
            <w:tcBorders>
              <w:top w:val="single" w:color="0C0F18" w:sz="1"/>
              <w:left w:val="single" w:color="0C0F18" w:sz="1"/>
              <w:bottom w:val="single" w:color="0C0F18" w:sz="1"/>
              <w:right w:val="single" w:color="0C0F18" w:sz="1"/>
            </w:tcBorders>
            <w:shd w:fill="0C0F18" w:val="clear"/>
            <w:tcMar>
              <w:top w:type="dxa" w:w="80"/>
              <w:left w:type="dxa" w:w="100"/>
              <w:bottom w:type="dxa" w:w="80"/>
              <w:right w:type="dxa" w:w="100"/>
            </w:tcMar>
          </w:tcPr>
          <w:p>
            <w:r>
              <w:rPr>
                <w:rFonts w:ascii="Arial" w:cs="Arial" w:eastAsia="Arial" w:hAnsi="Arial"/>
                <w:b/>
                <w:bCs/>
                <w:color w:val="FFFFFF"/>
                <w:sz w:val="20"/>
                <w:szCs w:val="20"/>
              </w:rPr>
              <w:t xml:space="preserve">Task</w:t>
            </w:r>
          </w:p>
        </w:tc>
        <w:tc>
          <w:tcPr>
            <w:tcW w:type="dxa" w:w="4160"/>
            <w:tcBorders>
              <w:top w:val="single" w:color="0C0F18" w:sz="1"/>
              <w:left w:val="single" w:color="0C0F18" w:sz="1"/>
              <w:bottom w:val="single" w:color="0C0F18" w:sz="1"/>
              <w:right w:val="single" w:color="0C0F18" w:sz="1"/>
            </w:tcBorders>
            <w:shd w:fill="0C0F18" w:val="clear"/>
            <w:tcMar>
              <w:top w:type="dxa" w:w="80"/>
              <w:left w:type="dxa" w:w="100"/>
              <w:bottom w:type="dxa" w:w="80"/>
              <w:right w:type="dxa" w:w="100"/>
            </w:tcMar>
          </w:tcPr>
          <w:p>
            <w:r>
              <w:rPr>
                <w:rFonts w:ascii="Arial" w:cs="Arial" w:eastAsia="Arial" w:hAnsi="Arial"/>
                <w:b/>
                <w:bCs/>
                <w:color w:val="FFFFFF"/>
                <w:sz w:val="20"/>
                <w:szCs w:val="20"/>
              </w:rPr>
              <w:t xml:space="preserve">Impact</w:t>
            </w:r>
          </w:p>
        </w:tc>
        <w:tc>
          <w:tcPr>
            <w:tcW w:type="dxa" w:w="1600"/>
            <w:tcBorders>
              <w:top w:val="single" w:color="0C0F18" w:sz="1"/>
              <w:left w:val="single" w:color="0C0F18" w:sz="1"/>
              <w:bottom w:val="single" w:color="0C0F18" w:sz="1"/>
              <w:right w:val="single" w:color="0C0F18" w:sz="1"/>
            </w:tcBorders>
            <w:shd w:fill="0C0F18" w:val="clear"/>
            <w:tcMar>
              <w:top w:type="dxa" w:w="80"/>
              <w:left w:type="dxa" w:w="100"/>
              <w:bottom w:type="dxa" w:w="80"/>
              <w:right w:type="dxa" w:w="100"/>
            </w:tcMar>
          </w:tcPr>
          <w:p>
            <w:r>
              <w:rPr>
                <w:rFonts w:ascii="Arial" w:cs="Arial" w:eastAsia="Arial" w:hAnsi="Arial"/>
                <w:b/>
                <w:bCs/>
                <w:color w:val="FFFFFF"/>
                <w:sz w:val="20"/>
                <w:szCs w:val="20"/>
              </w:rPr>
              <w:t xml:space="preserve">Effort</w:t>
            </w:r>
          </w:p>
        </w:tc>
      </w:tr>
      <w:tr>
        <w:tc>
          <w:tcPr>
            <w:tcW w:type="dxa" w:w="400"/>
            <w:tcBorders>
              <w:top w:val="single" w:color="E5DDD0" w:sz="1"/>
              <w:left w:val="single" w:color="E5DDD0" w:sz="1"/>
              <w:bottom w:val="single" w:color="E5DDD0" w:sz="1"/>
              <w:right w:val="single" w:color="E5DDD0" w:sz="1"/>
            </w:tcBorders>
            <w:shd w:fill="FDF0F0" w:val="clear"/>
            <w:tcMar>
              <w:top w:type="dxa" w:w="70"/>
              <w:left w:type="dxa" w:w="100"/>
              <w:bottom w:type="dxa" w:w="70"/>
              <w:right w:type="dxa" w:w="100"/>
            </w:tcMar>
          </w:tcPr>
          <w:p>
            <w:r>
              <w:rPr>
                <w:rFonts w:ascii="Arial" w:cs="Arial" w:eastAsia="Arial" w:hAnsi="Arial"/>
                <w:b/>
                <w:bCs/>
                <w:color w:val="8B1D2F"/>
                <w:sz w:val="19"/>
                <w:szCs w:val="19"/>
              </w:rPr>
              <w:t xml:space="preserve">P0</w:t>
            </w:r>
          </w:p>
        </w:tc>
        <w:tc>
          <w:tcPr>
            <w:tcW w:type="dxa" w:w="320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Restore emoji icons in mock data</w:t>
            </w:r>
          </w:p>
        </w:tc>
        <w:tc>
          <w:tcPr>
            <w:tcW w:type="dxa" w:w="416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Fixes broken visual in every demo run</w:t>
            </w:r>
          </w:p>
        </w:tc>
        <w:tc>
          <w:tcPr>
            <w:tcW w:type="dxa" w:w="160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30 min</w:t>
            </w:r>
          </w:p>
        </w:tc>
      </w:tr>
      <w:tr>
        <w:tc>
          <w:tcPr>
            <w:tcW w:type="dxa" w:w="400"/>
            <w:tcBorders>
              <w:top w:val="single" w:color="E5DDD0" w:sz="1"/>
              <w:left w:val="single" w:color="E5DDD0" w:sz="1"/>
              <w:bottom w:val="single" w:color="E5DDD0" w:sz="1"/>
              <w:right w:val="single" w:color="E5DDD0" w:sz="1"/>
            </w:tcBorders>
            <w:shd w:fill="FDF0F0" w:val="clear"/>
            <w:tcMar>
              <w:top w:type="dxa" w:w="70"/>
              <w:left w:type="dxa" w:w="100"/>
              <w:bottom w:type="dxa" w:w="70"/>
              <w:right w:type="dxa" w:w="100"/>
            </w:tcMar>
          </w:tcPr>
          <w:p>
            <w:r>
              <w:rPr>
                <w:rFonts w:ascii="Arial" w:cs="Arial" w:eastAsia="Arial" w:hAnsi="Arial"/>
                <w:b/>
                <w:bCs/>
                <w:color w:val="8B1D2F"/>
                <w:sz w:val="19"/>
                <w:szCs w:val="19"/>
              </w:rPr>
              <w:t xml:space="preserve">P0</w:t>
            </w:r>
          </w:p>
        </w:tc>
        <w:tc>
          <w:tcPr>
            <w:tcW w:type="dxa" w:w="320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Add score legend tooltip</w:t>
            </w:r>
          </w:p>
        </w:tc>
        <w:tc>
          <w:tcPr>
            <w:tcW w:type="dxa" w:w="416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Explains the -100 to +100 scale to all users</w:t>
            </w:r>
          </w:p>
        </w:tc>
        <w:tc>
          <w:tcPr>
            <w:tcW w:type="dxa" w:w="160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1 hr</w:t>
            </w:r>
          </w:p>
        </w:tc>
      </w:tr>
      <w:tr>
        <w:tc>
          <w:tcPr>
            <w:tcW w:type="dxa" w:w="400"/>
            <w:tcBorders>
              <w:top w:val="single" w:color="E5DDD0" w:sz="1"/>
              <w:left w:val="single" w:color="E5DDD0" w:sz="1"/>
              <w:bottom w:val="single" w:color="E5DDD0" w:sz="1"/>
              <w:right w:val="single" w:color="E5DDD0" w:sz="1"/>
            </w:tcBorders>
            <w:shd w:fill="FDF5EE" w:val="clear"/>
            <w:tcMar>
              <w:top w:type="dxa" w:w="70"/>
              <w:left w:type="dxa" w:w="100"/>
              <w:bottom w:type="dxa" w:w="70"/>
              <w:right w:type="dxa" w:w="100"/>
            </w:tcMar>
          </w:tcPr>
          <w:p>
            <w:r>
              <w:rPr>
                <w:rFonts w:ascii="Arial" w:cs="Arial" w:eastAsia="Arial" w:hAnsi="Arial"/>
                <w:b/>
                <w:bCs/>
                <w:color w:val="B84C1A"/>
                <w:sz w:val="19"/>
                <w:szCs w:val="19"/>
              </w:rPr>
              <w:t xml:space="preserve">P1</w:t>
            </w:r>
          </w:p>
        </w:tc>
        <w:tc>
          <w:tcPr>
            <w:tcW w:type="dxa" w:w="320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Add source citations panel</w:t>
            </w:r>
          </w:p>
        </w:tc>
        <w:tc>
          <w:tcPr>
            <w:tcW w:type="dxa" w:w="416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Enables professional/academic use cases</w:t>
            </w:r>
          </w:p>
        </w:tc>
        <w:tc>
          <w:tcPr>
            <w:tcW w:type="dxa" w:w="160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3 hrs</w:t>
            </w:r>
          </w:p>
        </w:tc>
      </w:tr>
      <w:tr>
        <w:tc>
          <w:tcPr>
            <w:tcW w:type="dxa" w:w="400"/>
            <w:tcBorders>
              <w:top w:val="single" w:color="E5DDD0" w:sz="1"/>
              <w:left w:val="single" w:color="E5DDD0" w:sz="1"/>
              <w:bottom w:val="single" w:color="E5DDD0" w:sz="1"/>
              <w:right w:val="single" w:color="E5DDD0" w:sz="1"/>
            </w:tcBorders>
            <w:shd w:fill="FDF5EE" w:val="clear"/>
            <w:tcMar>
              <w:top w:type="dxa" w:w="70"/>
              <w:left w:type="dxa" w:w="100"/>
              <w:bottom w:type="dxa" w:w="70"/>
              <w:right w:type="dxa" w:w="100"/>
            </w:tcMar>
          </w:tcPr>
          <w:p>
            <w:r>
              <w:rPr>
                <w:rFonts w:ascii="Arial" w:cs="Arial" w:eastAsia="Arial" w:hAnsi="Arial"/>
                <w:b/>
                <w:bCs/>
                <w:color w:val="B84C1A"/>
                <w:sz w:val="19"/>
                <w:szCs w:val="19"/>
              </w:rPr>
              <w:t xml:space="preserve">P1</w:t>
            </w:r>
          </w:p>
        </w:tc>
        <w:tc>
          <w:tcPr>
            <w:tcW w:type="dxa" w:w="320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Move custom event input to top of sidebar</w:t>
            </w:r>
          </w:p>
        </w:tc>
        <w:tc>
          <w:tcPr>
            <w:tcW w:type="dxa" w:w="416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Dramatically improves discoverability of highest-value feature</w:t>
            </w:r>
          </w:p>
        </w:tc>
        <w:tc>
          <w:tcPr>
            <w:tcW w:type="dxa" w:w="160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1 hr</w:t>
            </w:r>
          </w:p>
        </w:tc>
      </w:tr>
      <w:tr>
        <w:tc>
          <w:tcPr>
            <w:tcW w:type="dxa" w:w="400"/>
            <w:tcBorders>
              <w:top w:val="single" w:color="E5DDD0" w:sz="1"/>
              <w:left w:val="single" w:color="E5DDD0" w:sz="1"/>
              <w:bottom w:val="single" w:color="E5DDD0" w:sz="1"/>
              <w:right w:val="single" w:color="E5DDD0" w:sz="1"/>
            </w:tcBorders>
            <w:shd w:fill="FDF5EE" w:val="clear"/>
            <w:tcMar>
              <w:top w:type="dxa" w:w="70"/>
              <w:left w:type="dxa" w:w="100"/>
              <w:bottom w:type="dxa" w:w="70"/>
              <w:right w:type="dxa" w:w="100"/>
            </w:tcMar>
          </w:tcPr>
          <w:p>
            <w:r>
              <w:rPr>
                <w:rFonts w:ascii="Arial" w:cs="Arial" w:eastAsia="Arial" w:hAnsi="Arial"/>
                <w:b/>
                <w:bCs/>
                <w:color w:val="B84C1A"/>
                <w:sz w:val="19"/>
                <w:szCs w:val="19"/>
              </w:rPr>
              <w:t xml:space="preserve">P1</w:t>
            </w:r>
          </w:p>
        </w:tc>
        <w:tc>
          <w:tcPr>
            <w:tcW w:type="dxa" w:w="320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Add sidebar collapse toggle</w:t>
            </w:r>
          </w:p>
        </w:tc>
        <w:tc>
          <w:tcPr>
            <w:tcW w:type="dxa" w:w="416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Improves 13-inch laptop experience significantly</w:t>
            </w:r>
          </w:p>
        </w:tc>
        <w:tc>
          <w:tcPr>
            <w:tcW w:type="dxa" w:w="160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2 hrs</w:t>
            </w:r>
          </w:p>
        </w:tc>
      </w:tr>
      <w:tr>
        <w:tc>
          <w:tcPr>
            <w:tcW w:type="dxa" w:w="400"/>
            <w:tcBorders>
              <w:top w:val="single" w:color="E5DDD0" w:sz="1"/>
              <w:left w:val="single" w:color="E5DDD0" w:sz="1"/>
              <w:bottom w:val="single" w:color="E5DDD0" w:sz="1"/>
              <w:right w:val="single" w:color="E5DDD0" w:sz="1"/>
            </w:tcBorders>
            <w:shd w:fill="FDF5EE" w:val="clear"/>
            <w:tcMar>
              <w:top w:type="dxa" w:w="70"/>
              <w:left w:type="dxa" w:w="100"/>
              <w:bottom w:type="dxa" w:w="70"/>
              <w:right w:type="dxa" w:w="100"/>
            </w:tcMar>
          </w:tcPr>
          <w:p>
            <w:r>
              <w:rPr>
                <w:rFonts w:ascii="Arial" w:cs="Arial" w:eastAsia="Arial" w:hAnsi="Arial"/>
                <w:b/>
                <w:bCs/>
                <w:color w:val="B84C1A"/>
                <w:sz w:val="19"/>
                <w:szCs w:val="19"/>
              </w:rPr>
              <w:t xml:space="preserve">P1</w:t>
            </w:r>
          </w:p>
        </w:tc>
        <w:tc>
          <w:tcPr>
            <w:tcW w:type="dxa" w:w="320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Extend caching to localStorage with 24hr TTL</w:t>
            </w:r>
          </w:p>
        </w:tc>
        <w:tc>
          <w:tcPr>
            <w:tcW w:type="dxa" w:w="416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Saves API costs, speeds repeat use</w:t>
            </w:r>
          </w:p>
        </w:tc>
        <w:tc>
          <w:tcPr>
            <w:tcW w:type="dxa" w:w="160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2 hrs</w:t>
            </w:r>
          </w:p>
        </w:tc>
      </w:tr>
      <w:tr>
        <w:tc>
          <w:tcPr>
            <w:tcW w:type="dxa" w:w="400"/>
            <w:tcBorders>
              <w:top w:val="single" w:color="E5DDD0" w:sz="1"/>
              <w:left w:val="single" w:color="E5DDD0" w:sz="1"/>
              <w:bottom w:val="single" w:color="E5DDD0" w:sz="1"/>
              <w:right w:val="single" w:color="E5DDD0" w:sz="1"/>
            </w:tcBorders>
            <w:shd w:fill="F0F5FD" w:val="clear"/>
            <w:tcMar>
              <w:top w:type="dxa" w:w="70"/>
              <w:left w:type="dxa" w:w="100"/>
              <w:bottom w:type="dxa" w:w="70"/>
              <w:right w:type="dxa" w:w="100"/>
            </w:tcMar>
          </w:tcPr>
          <w:p>
            <w:r>
              <w:rPr>
                <w:rFonts w:ascii="Arial" w:cs="Arial" w:eastAsia="Arial" w:hAnsi="Arial"/>
                <w:b/>
                <w:bCs/>
                <w:color w:val="1B3F7A"/>
                <w:sz w:val="19"/>
                <w:szCs w:val="19"/>
              </w:rPr>
              <w:t xml:space="preserve">P2</w:t>
            </w:r>
          </w:p>
        </w:tc>
        <w:tc>
          <w:tcPr>
            <w:tcW w:type="dxa" w:w="320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Complete and test comparison feature</w:t>
            </w:r>
          </w:p>
        </w:tc>
        <w:tc>
          <w:tcPr>
            <w:tcW w:type="dxa" w:w="416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High-value feature for policy analysis</w:t>
            </w:r>
          </w:p>
        </w:tc>
        <w:tc>
          <w:tcPr>
            <w:tcW w:type="dxa" w:w="160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6 hrs</w:t>
            </w:r>
          </w:p>
        </w:tc>
      </w:tr>
      <w:tr>
        <w:tc>
          <w:tcPr>
            <w:tcW w:type="dxa" w:w="400"/>
            <w:tcBorders>
              <w:top w:val="single" w:color="E5DDD0" w:sz="1"/>
              <w:left w:val="single" w:color="E5DDD0" w:sz="1"/>
              <w:bottom w:val="single" w:color="E5DDD0" w:sz="1"/>
              <w:right w:val="single" w:color="E5DDD0" w:sz="1"/>
            </w:tcBorders>
            <w:shd w:fill="F0F5FD" w:val="clear"/>
            <w:tcMar>
              <w:top w:type="dxa" w:w="70"/>
              <w:left w:type="dxa" w:w="100"/>
              <w:bottom w:type="dxa" w:w="70"/>
              <w:right w:type="dxa" w:w="100"/>
            </w:tcMar>
          </w:tcPr>
          <w:p>
            <w:r>
              <w:rPr>
                <w:rFonts w:ascii="Arial" w:cs="Arial" w:eastAsia="Arial" w:hAnsi="Arial"/>
                <w:b/>
                <w:bCs/>
                <w:color w:val="1B3F7A"/>
                <w:sz w:val="19"/>
                <w:szCs w:val="19"/>
              </w:rPr>
              <w:t xml:space="preserve">P2</w:t>
            </w:r>
          </w:p>
        </w:tc>
        <w:tc>
          <w:tcPr>
            <w:tcW w:type="dxa" w:w="320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Add methodology disclosure banner on outputs</w:t>
            </w:r>
          </w:p>
        </w:tc>
        <w:tc>
          <w:tcPr>
            <w:tcW w:type="dxa" w:w="416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Epistemic honesty; reduces misuse risk</w:t>
            </w:r>
          </w:p>
        </w:tc>
        <w:tc>
          <w:tcPr>
            <w:tcW w:type="dxa" w:w="160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1 hr</w:t>
            </w:r>
          </w:p>
        </w:tc>
      </w:tr>
      <w:tr>
        <w:tc>
          <w:tcPr>
            <w:tcW w:type="dxa" w:w="400"/>
            <w:tcBorders>
              <w:top w:val="single" w:color="E5DDD0" w:sz="1"/>
              <w:left w:val="single" w:color="E5DDD0" w:sz="1"/>
              <w:bottom w:val="single" w:color="E5DDD0" w:sz="1"/>
              <w:right w:val="single" w:color="E5DDD0" w:sz="1"/>
            </w:tcBorders>
            <w:shd w:fill="F0F5FD" w:val="clear"/>
            <w:tcMar>
              <w:top w:type="dxa" w:w="70"/>
              <w:left w:type="dxa" w:w="100"/>
              <w:bottom w:type="dxa" w:w="70"/>
              <w:right w:type="dxa" w:w="100"/>
            </w:tcMar>
          </w:tcPr>
          <w:p>
            <w:r>
              <w:rPr>
                <w:rFonts w:ascii="Arial" w:cs="Arial" w:eastAsia="Arial" w:hAnsi="Arial"/>
                <w:b/>
                <w:bCs/>
                <w:color w:val="1B3F7A"/>
                <w:sz w:val="19"/>
                <w:szCs w:val="19"/>
              </w:rPr>
              <w:t xml:space="preserve">P2</w:t>
            </w:r>
          </w:p>
        </w:tc>
        <w:tc>
          <w:tcPr>
            <w:tcW w:type="dxa" w:w="320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Add 5 more events (ASEAN/China focus)</w:t>
            </w:r>
          </w:p>
        </w:tc>
        <w:tc>
          <w:tcPr>
            <w:tcW w:type="dxa" w:w="416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Expands coverage to RCEP, CPTPP, Myanmar instability</w:t>
            </w:r>
          </w:p>
        </w:tc>
        <w:tc>
          <w:tcPr>
            <w:tcW w:type="dxa" w:w="160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4 hrs research + 1 hr code</w:t>
            </w:r>
          </w:p>
        </w:tc>
      </w:tr>
      <w:tr>
        <w:tc>
          <w:tcPr>
            <w:tcW w:type="dxa" w:w="400"/>
            <w:tcBorders>
              <w:top w:val="single" w:color="E5DDD0" w:sz="1"/>
              <w:left w:val="single" w:color="E5DDD0" w:sz="1"/>
              <w:bottom w:val="single" w:color="E5DDD0" w:sz="1"/>
              <w:right w:val="single" w:color="E5DDD0" w:sz="1"/>
            </w:tcBorders>
            <w:shd w:fill="F0F5FD" w:val="clear"/>
            <w:tcMar>
              <w:top w:type="dxa" w:w="70"/>
              <w:left w:type="dxa" w:w="100"/>
              <w:bottom w:type="dxa" w:w="70"/>
              <w:right w:type="dxa" w:w="100"/>
            </w:tcMar>
          </w:tcPr>
          <w:p>
            <w:r>
              <w:rPr>
                <w:rFonts w:ascii="Arial" w:cs="Arial" w:eastAsia="Arial" w:hAnsi="Arial"/>
                <w:b/>
                <w:bCs/>
                <w:color w:val="1B3F7A"/>
                <w:sz w:val="19"/>
                <w:szCs w:val="19"/>
              </w:rPr>
              <w:t xml:space="preserve">P3</w:t>
            </w:r>
          </w:p>
        </w:tc>
        <w:tc>
          <w:tcPr>
            <w:tcW w:type="dxa" w:w="320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Thin backend API proxy</w:t>
            </w:r>
          </w:p>
        </w:tc>
        <w:tc>
          <w:tcPr>
            <w:tcW w:type="dxa" w:w="416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Removes API key exposure for multi-user deployment</w:t>
            </w:r>
          </w:p>
        </w:tc>
        <w:tc>
          <w:tcPr>
            <w:tcW w:type="dxa" w:w="1600"/>
            <w:tcBorders>
              <w:top w:val="single" w:color="E5DDD0" w:sz="1"/>
              <w:left w:val="single" w:color="E5DDD0" w:sz="1"/>
              <w:bottom w:val="single" w:color="E5DDD0" w:sz="1"/>
              <w:right w:val="single" w:color="E5DDD0" w:sz="1"/>
            </w:tcBorders>
            <w:shd w:fill="FBF7F0" w:val="clear"/>
            <w:tcMar>
              <w:top w:type="dxa" w:w="70"/>
              <w:left w:type="dxa" w:w="100"/>
              <w:bottom w:type="dxa" w:w="70"/>
              <w:right w:type="dxa" w:w="100"/>
            </w:tcMar>
          </w:tcPr>
          <w:p>
            <w:r>
              <w:rPr>
                <w:rFonts w:ascii="Arial" w:cs="Arial" w:eastAsia="Arial" w:hAnsi="Arial"/>
                <w:b w:val="false"/>
                <w:bCs w:val="false"/>
                <w:color w:val="0C0F18"/>
                <w:sz w:val="19"/>
                <w:szCs w:val="19"/>
              </w:rPr>
              <w:t xml:space="preserve">8 hrs engineering</w:t>
            </w:r>
          </w:p>
        </w:tc>
      </w:tr>
    </w:tbl>
    <w:p>
      <w:pPr>
        <w:spacing w:after="200"/>
      </w:pPr>
    </w:p>
    <w:p>
      <w:pPr>
        <w:pBdr>
          <w:bottom w:val="single" w:color="B8943A" w:sz="4" w:space="1"/>
        </w:pBdr>
        <w:spacing w:before="160" w:after="160"/>
      </w:pPr>
    </w:p>
    <w:p>
      <w:pPr>
        <w:pStyle w:val="Heading1"/>
        <w:spacing w:before="300" w:after="120"/>
      </w:pPr>
      <w:r>
        <w:rPr>
          <w:rFonts w:ascii="Arial" w:cs="Arial" w:eastAsia="Arial" w:hAnsi="Arial"/>
          <w:b/>
          <w:bCs/>
          <w:color w:val="0C0F18"/>
          <w:sz w:val="36"/>
          <w:szCs w:val="36"/>
        </w:rPr>
        <w:t xml:space="preserve">Conclusion</w:t>
      </w:r>
    </w:p>
    <w:p>
      <w:pPr>
        <w:pStyle w:val="Normal"/>
        <w:spacing w:after="140"/>
      </w:pPr>
      <w:r>
        <w:rPr>
          <w:rFonts w:ascii="Arial" w:cs="Arial" w:eastAsia="Arial" w:hAnsi="Arial"/>
          <w:b w:val="false"/>
          <w:bCs w:val="false"/>
          <w:i w:val="false"/>
          <w:iCs w:val="false"/>
          <w:color w:val="0C0F18"/>
          <w:sz w:val="22"/>
          <w:szCs w:val="22"/>
        </w:rPr>
        <w:t xml:space="preserve">Thailand Macro·Labor Intelligence is a </w:t>
      </w:r>
      <w:r>
        <w:rPr>
          <w:rFonts w:ascii="Arial" w:cs="Arial" w:eastAsia="Arial" w:hAnsi="Arial"/>
          <w:b/>
          <w:bCs/>
          <w:i w:val="false"/>
          <w:iCs w:val="false"/>
          <w:color w:val="0C0F18"/>
          <w:sz w:val="22"/>
          <w:szCs w:val="22"/>
        </w:rPr>
        <w:t xml:space="preserve">high-quality research tool with a clear value proposition, strong technical foundations, and genuine commercial potential</w:t>
      </w:r>
      <w:r>
        <w:rPr>
          <w:rFonts w:ascii="Arial" w:cs="Arial" w:eastAsia="Arial" w:hAnsi="Arial"/>
          <w:b w:val="false"/>
          <w:bCs w:val="false"/>
          <w:i w:val="false"/>
          <w:iCs w:val="false"/>
          <w:color w:val="0C0F18"/>
          <w:sz w:val="22"/>
          <w:szCs w:val="22"/>
        </w:rPr>
        <w:t xml:space="preserve">. The combination of expert editorial curation, sophisticated prompt engineering, and production-grade UI places it significantly above typical AI prototype quality.</w:t>
      </w:r>
    </w:p>
    <w:p>
      <w:pPr>
        <w:pStyle w:val="Normal"/>
        <w:spacing w:after="140"/>
      </w:pPr>
      <w:r>
        <w:rPr>
          <w:rFonts w:ascii="Arial" w:cs="Arial" w:eastAsia="Arial" w:hAnsi="Arial"/>
          <w:color w:val="0C0F18"/>
          <w:sz w:val="22"/>
          <w:szCs w:val="22"/>
        </w:rPr>
        <w:t xml:space="preserve">Its weaknesses are concentrated in three areas: a regression in the mock data that makes demos look broken, the absence of source citation infrastructure that professional users would require, and a comparison feature that was built but not completed. None of these are architectural problems — they are discrete engineering tasks estimated at fewer than 20 combined hours of work.</w:t>
      </w:r>
    </w:p>
    <w:p>
      <w:pPr>
        <w:pStyle w:val="Normal"/>
        <w:spacing w:after="140"/>
      </w:pPr>
      <w:r>
        <w:rPr>
          <w:rFonts w:ascii="Arial" w:cs="Arial" w:eastAsia="Arial" w:hAnsi="Arial"/>
          <w:b w:val="false"/>
          <w:bCs w:val="false"/>
          <w:i w:val="false"/>
          <w:iCs w:val="false"/>
          <w:color w:val="0C0F18"/>
          <w:sz w:val="22"/>
          <w:szCs w:val="22"/>
        </w:rPr>
        <w:t xml:space="preserve">The most important strategic observation is this: </w:t>
      </w:r>
      <w:r>
        <w:rPr>
          <w:rFonts w:ascii="Arial" w:cs="Arial" w:eastAsia="Arial" w:hAnsi="Arial"/>
          <w:b/>
          <w:bCs/>
          <w:i w:val="false"/>
          <w:iCs w:val="false"/>
          <w:color w:val="0C0F18"/>
          <w:sz w:val="22"/>
          <w:szCs w:val="22"/>
        </w:rPr>
        <w:t xml:space="preserve">the tool's value is primarily its editorial layer, not its code</w:t>
      </w:r>
      <w:r>
        <w:rPr>
          <w:rFonts w:ascii="Arial" w:cs="Arial" w:eastAsia="Arial" w:hAnsi="Arial"/>
          <w:b w:val="false"/>
          <w:bCs w:val="false"/>
          <w:i w:val="false"/>
          <w:iCs w:val="false"/>
          <w:color w:val="0C0F18"/>
          <w:sz w:val="22"/>
          <w:szCs w:val="22"/>
        </w:rPr>
        <w:t xml:space="preserve">. The 18 events with verified, dense context strings — naming real companies, real institutions, real policy mechanisms, real trade routes — are what produce outputs qualitatively superior to asking a general-purpose AI about the Thai economy. Maintaining and expanding this editorial layer is the highest-leverage investment available to this project.</w:t>
      </w:r>
    </w:p>
    <w:p>
      <w:pPr>
        <w:pStyle w:val="Normal"/>
        <w:spacing w:after="140"/>
      </w:pPr>
      <w:r>
        <w:rPr>
          <w:rFonts w:ascii="Arial" w:cs="Arial" w:eastAsia="Arial" w:hAnsi="Arial"/>
          <w:b w:val="false"/>
          <w:bCs w:val="false"/>
          <w:i w:val="false"/>
          <w:iCs w:val="false"/>
          <w:color w:val="0C0F18"/>
          <w:sz w:val="22"/>
          <w:szCs w:val="22"/>
        </w:rPr>
        <w:t xml:space="preserve">At the current level of quality, this tool would be </w:t>
      </w:r>
      <w:r>
        <w:rPr>
          <w:rFonts w:ascii="Arial" w:cs="Arial" w:eastAsia="Arial" w:hAnsi="Arial"/>
          <w:b/>
          <w:bCs/>
          <w:i w:val="false"/>
          <w:iCs w:val="false"/>
          <w:color w:val="0C0F18"/>
          <w:sz w:val="22"/>
          <w:szCs w:val="22"/>
        </w:rPr>
        <w:t xml:space="preserve">immediately useful and differentiated</w:t>
      </w:r>
      <w:r>
        <w:rPr>
          <w:rFonts w:ascii="Arial" w:cs="Arial" w:eastAsia="Arial" w:hAnsi="Arial"/>
          <w:b w:val="false"/>
          <w:bCs w:val="false"/>
          <w:i w:val="false"/>
          <w:iCs w:val="false"/>
          <w:color w:val="0C0F18"/>
          <w:sz w:val="22"/>
          <w:szCs w:val="22"/>
        </w:rPr>
        <w:t xml:space="preserve"> if shared with Thailand-focused policy researchers. With 20 hours of targeted improvements (P0 and P1 items), it would be </w:t>
      </w:r>
      <w:r>
        <w:rPr>
          <w:rFonts w:ascii="Arial" w:cs="Arial" w:eastAsia="Arial" w:hAnsi="Arial"/>
          <w:b/>
          <w:bCs/>
          <w:i w:val="false"/>
          <w:iCs w:val="false"/>
          <w:color w:val="1A6B3C"/>
          <w:sz w:val="22"/>
          <w:szCs w:val="22"/>
        </w:rPr>
        <w:t xml:space="preserve">deployable as a professional research platform</w:t>
      </w:r>
      <w:r>
        <w:rPr>
          <w:rFonts w:ascii="Arial" w:cs="Arial" w:eastAsia="Arial" w:hAnsi="Arial"/>
          <w:b w:val="false"/>
          <w:bCs w:val="false"/>
          <w:i w:val="false"/>
          <w:iCs w:val="false"/>
          <w:color w:val="0C0F18"/>
          <w:sz w:val="22"/>
          <w:szCs w:val="22"/>
        </w:rPr>
        <w:t xml:space="preserve">.</w:t>
      </w:r>
    </w:p>
    <w:p>
      <w:pPr>
        <w:spacing w:before="320" w:after="80"/>
        <w:jc w:val="center"/>
      </w:pPr>
      <w:r>
        <w:rPr>
          <w:rFonts w:ascii="Arial" w:cs="Arial" w:eastAsia="Arial" w:hAnsi="Arial"/>
          <w:color w:val="B8943A"/>
          <w:sz w:val="24"/>
          <w:szCs w:val="24"/>
        </w:rPr>
        <w:t xml:space="preserve">—</w:t>
      </w:r>
      <w:r>
        <w:rPr>
          <w:rFonts w:ascii="Arial" w:cs="Arial" w:eastAsia="Arial" w:hAnsi="Arial"/>
          <w:i/>
          <w:iCs/>
          <w:color w:val="7A7060"/>
          <w:sz w:val="22"/>
          <w:szCs w:val="22"/>
        </w:rPr>
        <w:t xml:space="preserve">  End of Assessment  </w:t>
      </w:r>
      <w:r>
        <w:rPr>
          <w:rFonts w:ascii="Arial" w:cs="Arial" w:eastAsia="Arial" w:hAnsi="Arial"/>
          <w:color w:val="B8943A"/>
          <w:sz w:val="24"/>
          <w:szCs w:val="24"/>
        </w:rPr>
        <w:t xml:space="preserve">—</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0E8D8" w:sz="4"/>
      </w:pBdr>
      <w:tabs>
        <w:tab w:val="right" w:pos="9360"/>
      </w:tabs>
      <w:spacing w:before="80"/>
    </w:pPr>
    <w:r>
      <w:rPr>
        <w:rFonts w:ascii="Arial" w:cs="Arial" w:eastAsia="Arial" w:hAnsi="Arial"/>
        <w:color w:val="7A7060"/>
        <w:sz w:val="17"/>
        <w:szCs w:val="17"/>
      </w:rPr>
      <w:t xml:space="preserve">Confidential — Internal Review</w:t>
    </w:r>
    <w:r>
      <w:rPr>
        <w:sz w:val="17"/>
        <w:szCs w:val="17"/>
      </w:rPr>
      <w:t xml:space="preserve">	</w:t>
    </w:r>
    <w:r>
      <w:rPr>
        <w:rFonts w:ascii="Arial" w:cs="Arial" w:eastAsia="Arial" w:hAnsi="Arial"/>
        <w:color w:val="7A7060"/>
        <w:sz w:val="17"/>
        <w:szCs w:val="17"/>
      </w:rPr>
      <w:t xml:space="preserve">Page </w:t>
    </w:r>
    <w:r>
      <w:rPr>
        <w:rFonts w:ascii="Arial" w:cs="Arial" w:eastAsia="Arial" w:hAnsi="Arial"/>
        <w:color w:val="7A7060"/>
        <w:sz w:val="17"/>
        <w:szCs w:val="17"/>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43A" w:sz="6"/>
      </w:pBdr>
      <w:spacing w:after="0"/>
    </w:pPr>
    <w:r>
      <w:rPr>
        <w:rFonts w:ascii="Arial" w:cs="Arial" w:eastAsia="Arial" w:hAnsi="Arial"/>
        <w:b/>
        <w:bCs/>
        <w:color w:val="7A7060"/>
        <w:sz w:val="18"/>
        <w:szCs w:val="18"/>
      </w:rPr>
      <w:t xml:space="preserve">THAILAND MACRO-LABOR INTELLIGENCE</w:t>
    </w:r>
    <w:r>
      <w:rPr>
        <w:rFonts w:ascii="Arial" w:cs="Arial" w:eastAsia="Arial" w:hAnsi="Arial"/>
        <w:color w:val="7A7060"/>
        <w:sz w:val="18"/>
        <w:szCs w:val="18"/>
      </w:rPr>
      <w:t xml:space="preserve">  |  Application Value Assessment &amp; Technical Review</w:t>
    </w:r>
    <w:r>
      <w:rPr>
        <w:rFonts w:ascii="Arial" w:cs="Arial" w:eastAsia="Arial" w:hAnsi="Arial"/>
        <w:color w:val="7A7060"/>
        <w:sz w:val="18"/>
        <w:szCs w:val="18"/>
      </w:rPr>
      <w:t xml:space="preserve">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C0F1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C0F18"/>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1B3F7A"/>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0C0F18"/>
      <w:sz w:val="24"/>
      <w:szCs w:val="24"/>
    </w:rPr>
  </w:style>
  <w:style w:type="paragraph" w:styleId="Normal">
    <w:name w:val="Normal"/>
    <w:pPr>
      <w:spacing w:after="140"/>
    </w:pPr>
    <w:rPr>
      <w:rFonts w:ascii="Arial" w:cs="Arial" w:eastAsia="Arial" w:hAnsi="Arial"/>
      <w:color w:val="0C0F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2026-03-06T14:26:21.695Z</dcterms:created>
  <dcterms:modified xsi:type="dcterms:W3CDTF">2026-03-06T14:26:21.696Z</dcterms:modified>
</cp:coreProperties>
</file>

<file path=docProps/custom.xml><?xml version="1.0" encoding="utf-8"?>
<Properties xmlns="http://schemas.openxmlformats.org/officeDocument/2006/custom-properties" xmlns:vt="http://schemas.openxmlformats.org/officeDocument/2006/docPropsVTypes"/>
</file>