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p>
        <w:p w14:paraId="69387EAB" w14:textId="7A758E86" w:rsidR="000A705B"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0025030" w:history="1">
            <w:r w:rsidR="000A705B" w:rsidRPr="003B072C">
              <w:rPr>
                <w:rStyle w:val="Hyperlink"/>
                <w:b/>
                <w:bCs/>
                <w:noProof/>
                <w:lang w:val="en-US"/>
              </w:rPr>
              <w:t>AWS Security – Introductions</w:t>
            </w:r>
            <w:r w:rsidR="000A705B">
              <w:rPr>
                <w:noProof/>
                <w:webHidden/>
              </w:rPr>
              <w:tab/>
            </w:r>
            <w:r w:rsidR="000A705B">
              <w:rPr>
                <w:noProof/>
                <w:webHidden/>
              </w:rPr>
              <w:fldChar w:fldCharType="begin"/>
            </w:r>
            <w:r w:rsidR="000A705B">
              <w:rPr>
                <w:noProof/>
                <w:webHidden/>
              </w:rPr>
              <w:instrText xml:space="preserve"> PAGEREF _Toc30025030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376055D7" w14:textId="612645CE" w:rsidR="000A705B" w:rsidRDefault="005121A1">
          <w:pPr>
            <w:pStyle w:val="TOC1"/>
            <w:tabs>
              <w:tab w:val="right" w:leader="dot" w:pos="10456"/>
            </w:tabs>
            <w:rPr>
              <w:rFonts w:eastAsiaTheme="minorEastAsia"/>
              <w:noProof/>
              <w:lang w:eastAsia="en-IN"/>
            </w:rPr>
          </w:pPr>
          <w:hyperlink w:anchor="_Toc30025031" w:history="1">
            <w:r w:rsidR="000A705B" w:rsidRPr="003B072C">
              <w:rPr>
                <w:rStyle w:val="Hyperlink"/>
                <w:b/>
                <w:bCs/>
                <w:noProof/>
                <w:lang w:val="en-US"/>
              </w:rPr>
              <w:t>AWS Security – Overview Process</w:t>
            </w:r>
            <w:r w:rsidR="000A705B">
              <w:rPr>
                <w:noProof/>
                <w:webHidden/>
              </w:rPr>
              <w:tab/>
            </w:r>
            <w:r w:rsidR="000A705B">
              <w:rPr>
                <w:noProof/>
                <w:webHidden/>
              </w:rPr>
              <w:fldChar w:fldCharType="begin"/>
            </w:r>
            <w:r w:rsidR="000A705B">
              <w:rPr>
                <w:noProof/>
                <w:webHidden/>
              </w:rPr>
              <w:instrText xml:space="preserve"> PAGEREF _Toc30025031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05C9EC48" w14:textId="24A7DE3A" w:rsidR="000A705B" w:rsidRDefault="005121A1">
          <w:pPr>
            <w:pStyle w:val="TOC1"/>
            <w:tabs>
              <w:tab w:val="right" w:leader="dot" w:pos="10456"/>
            </w:tabs>
            <w:rPr>
              <w:rFonts w:eastAsiaTheme="minorEastAsia"/>
              <w:noProof/>
              <w:lang w:eastAsia="en-IN"/>
            </w:rPr>
          </w:pPr>
          <w:hyperlink w:anchor="_Toc30025032" w:history="1">
            <w:r w:rsidR="000A705B" w:rsidRPr="003B072C">
              <w:rPr>
                <w:rStyle w:val="Hyperlink"/>
                <w:b/>
                <w:bCs/>
                <w:noProof/>
                <w:lang w:val="en-US"/>
              </w:rPr>
              <w:t>AWS Security – Best Practices</w:t>
            </w:r>
            <w:r w:rsidR="000A705B">
              <w:rPr>
                <w:noProof/>
                <w:webHidden/>
              </w:rPr>
              <w:tab/>
            </w:r>
            <w:r w:rsidR="000A705B">
              <w:rPr>
                <w:noProof/>
                <w:webHidden/>
              </w:rPr>
              <w:fldChar w:fldCharType="begin"/>
            </w:r>
            <w:r w:rsidR="000A705B">
              <w:rPr>
                <w:noProof/>
                <w:webHidden/>
              </w:rPr>
              <w:instrText xml:space="preserve"> PAGEREF _Toc30025032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2E7A2B19" w14:textId="373DEE0F" w:rsidR="000A705B" w:rsidRDefault="005121A1">
          <w:pPr>
            <w:pStyle w:val="TOC1"/>
            <w:tabs>
              <w:tab w:val="right" w:leader="dot" w:pos="10456"/>
            </w:tabs>
            <w:rPr>
              <w:rFonts w:eastAsiaTheme="minorEastAsia"/>
              <w:noProof/>
              <w:lang w:eastAsia="en-IN"/>
            </w:rPr>
          </w:pPr>
          <w:hyperlink w:anchor="_Toc30025033" w:history="1">
            <w:r w:rsidR="000A705B" w:rsidRPr="003B072C">
              <w:rPr>
                <w:rStyle w:val="Hyperlink"/>
                <w:b/>
                <w:bCs/>
                <w:noProof/>
                <w:lang w:val="en-US"/>
              </w:rPr>
              <w:t>AWS Security – Lambda service overview</w:t>
            </w:r>
            <w:r w:rsidR="000A705B">
              <w:rPr>
                <w:noProof/>
                <w:webHidden/>
              </w:rPr>
              <w:tab/>
            </w:r>
            <w:r w:rsidR="000A705B">
              <w:rPr>
                <w:noProof/>
                <w:webHidden/>
              </w:rPr>
              <w:fldChar w:fldCharType="begin"/>
            </w:r>
            <w:r w:rsidR="000A705B">
              <w:rPr>
                <w:noProof/>
                <w:webHidden/>
              </w:rPr>
              <w:instrText xml:space="preserve"> PAGEREF _Toc30025033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1FD4269D" w14:textId="08A17C90" w:rsidR="000A705B" w:rsidRDefault="005121A1">
          <w:pPr>
            <w:pStyle w:val="TOC1"/>
            <w:tabs>
              <w:tab w:val="right" w:leader="dot" w:pos="10456"/>
            </w:tabs>
            <w:rPr>
              <w:rFonts w:eastAsiaTheme="minorEastAsia"/>
              <w:noProof/>
              <w:lang w:eastAsia="en-IN"/>
            </w:rPr>
          </w:pPr>
          <w:hyperlink w:anchor="_Toc30025034" w:history="1">
            <w:r w:rsidR="000A705B" w:rsidRPr="003B072C">
              <w:rPr>
                <w:rStyle w:val="Hyperlink"/>
                <w:b/>
                <w:bCs/>
                <w:noProof/>
                <w:lang w:val="en-US"/>
              </w:rPr>
              <w:t>Disaster Recover – Backup &amp; Strategy</w:t>
            </w:r>
            <w:r w:rsidR="000A705B">
              <w:rPr>
                <w:noProof/>
                <w:webHidden/>
              </w:rPr>
              <w:tab/>
            </w:r>
            <w:r w:rsidR="000A705B">
              <w:rPr>
                <w:noProof/>
                <w:webHidden/>
              </w:rPr>
              <w:fldChar w:fldCharType="begin"/>
            </w:r>
            <w:r w:rsidR="000A705B">
              <w:rPr>
                <w:noProof/>
                <w:webHidden/>
              </w:rPr>
              <w:instrText xml:space="preserve"> PAGEREF _Toc30025034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28DA2848" w14:textId="425171DA" w:rsidR="000A705B" w:rsidRDefault="005121A1">
          <w:pPr>
            <w:pStyle w:val="TOC1"/>
            <w:tabs>
              <w:tab w:val="right" w:leader="dot" w:pos="10456"/>
            </w:tabs>
            <w:rPr>
              <w:rFonts w:eastAsiaTheme="minorEastAsia"/>
              <w:noProof/>
              <w:lang w:eastAsia="en-IN"/>
            </w:rPr>
          </w:pPr>
          <w:hyperlink w:anchor="_Toc30025035" w:history="1">
            <w:r w:rsidR="000A705B" w:rsidRPr="003B072C">
              <w:rPr>
                <w:rStyle w:val="Hyperlink"/>
                <w:b/>
                <w:bCs/>
                <w:noProof/>
                <w:lang w:val="en-US"/>
              </w:rPr>
              <w:t>AWS Security Incident Reporting Guide</w:t>
            </w:r>
            <w:r w:rsidR="000A705B">
              <w:rPr>
                <w:noProof/>
                <w:webHidden/>
              </w:rPr>
              <w:tab/>
            </w:r>
            <w:r w:rsidR="000A705B">
              <w:rPr>
                <w:noProof/>
                <w:webHidden/>
              </w:rPr>
              <w:fldChar w:fldCharType="begin"/>
            </w:r>
            <w:r w:rsidR="000A705B">
              <w:rPr>
                <w:noProof/>
                <w:webHidden/>
              </w:rPr>
              <w:instrText xml:space="preserve"> PAGEREF _Toc30025035 \h </w:instrText>
            </w:r>
            <w:r w:rsidR="000A705B">
              <w:rPr>
                <w:noProof/>
                <w:webHidden/>
              </w:rPr>
            </w:r>
            <w:r w:rsidR="000A705B">
              <w:rPr>
                <w:noProof/>
                <w:webHidden/>
              </w:rPr>
              <w:fldChar w:fldCharType="separate"/>
            </w:r>
            <w:r w:rsidR="000A705B">
              <w:rPr>
                <w:noProof/>
                <w:webHidden/>
              </w:rPr>
              <w:t>1</w:t>
            </w:r>
            <w:r w:rsidR="000A705B">
              <w:rPr>
                <w:noProof/>
                <w:webHidden/>
              </w:rPr>
              <w:fldChar w:fldCharType="end"/>
            </w:r>
          </w:hyperlink>
        </w:p>
        <w:p w14:paraId="57C24303" w14:textId="5448246D"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0" w:name="_Toc30025030"/>
      <w:r>
        <w:rPr>
          <w:b/>
          <w:bCs/>
          <w:lang w:val="en-US"/>
        </w:rPr>
        <w:t>AWS Security – Introductions</w:t>
      </w:r>
      <w:bookmarkEnd w:id="0"/>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1" w:name="_Toc30025031"/>
      <w:r>
        <w:rPr>
          <w:b/>
          <w:bCs/>
          <w:lang w:val="en-US"/>
        </w:rPr>
        <w:t>AWS Security – Overview Process</w:t>
      </w:r>
      <w:bookmarkEnd w:id="1"/>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lastRenderedPageBreak/>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787C5E3C" w:rsidR="002A53B5" w:rsidRPr="002A53B5" w:rsidRDefault="002A53B5" w:rsidP="002A53B5">
      <w:pPr>
        <w:rPr>
          <w:b/>
          <w:bCs/>
          <w:lang w:val="en-US"/>
        </w:rPr>
      </w:pPr>
      <w:r>
        <w:rPr>
          <w:b/>
          <w:bCs/>
          <w:lang w:val="en-US"/>
        </w:rPr>
        <w:t xml:space="preserve">Business Continuity Management : Page # 11 </w:t>
      </w:r>
    </w:p>
    <w:p w14:paraId="1B12B259" w14:textId="5A944C07" w:rsidR="007E5C7C" w:rsidRDefault="007E5C7C" w:rsidP="007E5C7C">
      <w:pPr>
        <w:pStyle w:val="Heading1"/>
        <w:rPr>
          <w:b/>
          <w:bCs/>
          <w:lang w:val="en-US"/>
        </w:rPr>
      </w:pPr>
      <w:bookmarkStart w:id="2" w:name="_Toc30025032"/>
      <w:r>
        <w:rPr>
          <w:b/>
          <w:bCs/>
          <w:lang w:val="en-US"/>
        </w:rPr>
        <w:t>AWS Security – Best Practices</w:t>
      </w:r>
      <w:bookmarkEnd w:id="2"/>
      <w:r>
        <w:rPr>
          <w:b/>
          <w:bCs/>
          <w:lang w:val="en-US"/>
        </w:rPr>
        <w:t xml:space="preserve"> </w:t>
      </w:r>
    </w:p>
    <w:p w14:paraId="06359CD6" w14:textId="51CE6D9F" w:rsidR="007E5C7C" w:rsidRDefault="007E5C7C" w:rsidP="007E5C7C">
      <w:pPr>
        <w:rPr>
          <w:lang w:val="en-US"/>
        </w:rPr>
      </w:pPr>
    </w:p>
    <w:p w14:paraId="77504938" w14:textId="5E15EF17" w:rsidR="007E5C7C" w:rsidRDefault="007E5C7C" w:rsidP="007E5C7C">
      <w:pPr>
        <w:rPr>
          <w:lang w:val="en-US"/>
        </w:rPr>
      </w:pPr>
    </w:p>
    <w:p w14:paraId="0A82280A" w14:textId="5B0D77EC" w:rsidR="007E5C7C" w:rsidRPr="006B0728" w:rsidRDefault="007E5C7C" w:rsidP="006B0728">
      <w:pPr>
        <w:pStyle w:val="Heading1"/>
        <w:rPr>
          <w:b/>
          <w:bCs/>
          <w:lang w:val="en-US"/>
        </w:rPr>
      </w:pPr>
      <w:bookmarkStart w:id="3" w:name="_Toc30025033"/>
      <w:r w:rsidRPr="006B0728">
        <w:rPr>
          <w:b/>
          <w:bCs/>
          <w:lang w:val="en-US"/>
        </w:rPr>
        <w:t>AWS Security – Lambda service overview</w:t>
      </w:r>
      <w:bookmarkEnd w:id="3"/>
    </w:p>
    <w:p w14:paraId="34A78E81" w14:textId="77777777" w:rsidR="007E5C7C" w:rsidRPr="001961D6" w:rsidRDefault="007E5C7C" w:rsidP="001961D6">
      <w:pPr>
        <w:rPr>
          <w:lang w:val="en-US"/>
        </w:rPr>
      </w:pPr>
    </w:p>
    <w:p w14:paraId="3CEBD6C5" w14:textId="23BC4DB9" w:rsidR="00024BAE" w:rsidRDefault="00024BAE" w:rsidP="00024BAE">
      <w:pPr>
        <w:pStyle w:val="Heading1"/>
        <w:rPr>
          <w:b/>
          <w:bCs/>
          <w:lang w:val="en-US"/>
        </w:rPr>
      </w:pPr>
      <w:bookmarkStart w:id="4" w:name="_Toc30025034"/>
      <w:r w:rsidRPr="00024BAE">
        <w:rPr>
          <w:b/>
          <w:bCs/>
          <w:lang w:val="en-US"/>
        </w:rPr>
        <w:lastRenderedPageBreak/>
        <w:t xml:space="preserve">Disaster Recover </w:t>
      </w:r>
      <w:r w:rsidR="00C66D4C">
        <w:rPr>
          <w:b/>
          <w:bCs/>
          <w:lang w:val="en-US"/>
        </w:rPr>
        <w:t xml:space="preserve">– Backup &amp; </w:t>
      </w:r>
      <w:r w:rsidRPr="00024BAE">
        <w:rPr>
          <w:b/>
          <w:bCs/>
          <w:lang w:val="en-US"/>
        </w:rPr>
        <w:t>Strategy</w:t>
      </w:r>
      <w:bookmarkEnd w:id="4"/>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r w:rsidR="00884D82">
        <w:rPr>
          <w:lang w:val="en-US"/>
        </w:rPr>
        <w:t xml:space="preserve">db </w:t>
      </w:r>
      <w:r>
        <w:rPr>
          <w:lang w:val="en-US"/>
        </w:rPr>
        <w:t xml:space="preserve">instance by </w:t>
      </w:r>
      <w:r w:rsidR="00884D82">
        <w:rPr>
          <w:lang w:val="en-US"/>
        </w:rPr>
        <w:t xml:space="preserve">taking backup from read replicas instead of primary db. </w:t>
      </w:r>
      <w:r w:rsidR="000633F1">
        <w:rPr>
          <w:lang w:val="en-US"/>
        </w:rPr>
        <w:t>The read replicas can have similar RAID configuration as that of the primary db</w:t>
      </w:r>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db instance creation. Using automated backup snapshot in conjunction with 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FOR RDS INSTANCE: this can done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lastRenderedPageBreak/>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address ,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t>Redshift</w:t>
      </w:r>
      <w:r w:rsidR="00FF63A3" w:rsidRPr="00714EBC">
        <w:rPr>
          <w:b/>
          <w:bCs/>
          <w:lang w:val="en-US"/>
        </w:rPr>
        <w:t xml:space="preserve"> –</w:t>
      </w:r>
      <w:r w:rsidR="00FF63A3">
        <w:rPr>
          <w:lang w:val="en-US"/>
        </w:rPr>
        <w:t xml:space="preserve"> support manual and automatic snapshot which can be use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t>AWS Cloudformation:</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AWS Elastic BeanStalk:</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AWS OpsWorks –</w:t>
      </w:r>
      <w:r w:rsidRPr="002169D1">
        <w:rPr>
          <w:lang w:val="en-US"/>
        </w:rPr>
        <w:t xml:space="preserve"> Chef base infrastructure as a code service which can be used in conjunction with AWS CloudFormation to automatically provision new stack in an event of an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lastRenderedPageBreak/>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791E79">
        <w:tc>
          <w:tcPr>
            <w:tcW w:w="5228" w:type="dxa"/>
            <w:shd w:val="clear" w:color="auto" w:fill="E7E6E6" w:themeFill="background2"/>
          </w:tcPr>
          <w:p w14:paraId="6912C7F2" w14:textId="77777777" w:rsidR="009757AD" w:rsidRPr="00BE298A" w:rsidRDefault="009757AD" w:rsidP="00791E79">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791E79">
            <w:pPr>
              <w:pStyle w:val="ListParagraph"/>
              <w:ind w:left="0"/>
              <w:jc w:val="both"/>
              <w:rPr>
                <w:b/>
                <w:bCs/>
                <w:lang w:val="en-US"/>
              </w:rPr>
            </w:pPr>
            <w:r w:rsidRPr="00BE298A">
              <w:rPr>
                <w:b/>
                <w:bCs/>
                <w:lang w:val="en-US"/>
              </w:rPr>
              <w:t xml:space="preserve">Recovery Phase </w:t>
            </w:r>
          </w:p>
        </w:tc>
      </w:tr>
      <w:tr w:rsidR="009757AD" w14:paraId="4A732E63" w14:textId="77777777" w:rsidTr="00791E79">
        <w:tc>
          <w:tcPr>
            <w:tcW w:w="5228" w:type="dxa"/>
          </w:tcPr>
          <w:p w14:paraId="78D85060" w14:textId="77777777" w:rsidR="009757AD" w:rsidRDefault="009757AD" w:rsidP="00791E79">
            <w:pPr>
              <w:pStyle w:val="ListParagraph"/>
              <w:ind w:left="0"/>
              <w:jc w:val="both"/>
              <w:rPr>
                <w:lang w:val="en-US"/>
              </w:rPr>
            </w:pPr>
          </w:p>
        </w:tc>
        <w:tc>
          <w:tcPr>
            <w:tcW w:w="5228" w:type="dxa"/>
          </w:tcPr>
          <w:p w14:paraId="1D9078B3" w14:textId="77777777" w:rsidR="009757AD" w:rsidRDefault="009757AD" w:rsidP="00791E79">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791E79">
        <w:tc>
          <w:tcPr>
            <w:tcW w:w="5228" w:type="dxa"/>
            <w:shd w:val="clear" w:color="auto" w:fill="E7E6E6" w:themeFill="background2"/>
          </w:tcPr>
          <w:p w14:paraId="25C7071C" w14:textId="640FE607" w:rsidR="009757AD" w:rsidRPr="00BE298A" w:rsidRDefault="009757AD" w:rsidP="00791E79">
            <w:pPr>
              <w:pStyle w:val="ListParagraph"/>
              <w:ind w:left="0"/>
              <w:jc w:val="both"/>
              <w:rPr>
                <w:b/>
                <w:bCs/>
                <w:lang w:val="en-US"/>
              </w:rPr>
            </w:pPr>
            <w:r w:rsidRPr="00BE298A">
              <w:rPr>
                <w:b/>
                <w:bCs/>
                <w:lang w:val="en-US"/>
              </w:rPr>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791E79">
            <w:pPr>
              <w:pStyle w:val="ListParagraph"/>
              <w:ind w:left="0"/>
              <w:jc w:val="both"/>
              <w:rPr>
                <w:b/>
                <w:bCs/>
                <w:lang w:val="en-US"/>
              </w:rPr>
            </w:pPr>
            <w:r w:rsidRPr="00BE298A">
              <w:rPr>
                <w:b/>
                <w:bCs/>
                <w:lang w:val="en-US"/>
              </w:rPr>
              <w:t xml:space="preserve">Recovery Phase </w:t>
            </w:r>
          </w:p>
        </w:tc>
      </w:tr>
      <w:tr w:rsidR="003B4233" w14:paraId="48F518B1" w14:textId="77777777" w:rsidTr="00791E79">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791E79">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791E79">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791E79">
        <w:tc>
          <w:tcPr>
            <w:tcW w:w="4867" w:type="dxa"/>
            <w:shd w:val="clear" w:color="auto" w:fill="E7E6E6" w:themeFill="background2"/>
          </w:tcPr>
          <w:p w14:paraId="60335392" w14:textId="69D10D1A" w:rsidR="00AE4087" w:rsidRPr="00BE298A" w:rsidRDefault="00AE4087" w:rsidP="00791E79">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791E79">
            <w:pPr>
              <w:pStyle w:val="ListParagraph"/>
              <w:ind w:left="0"/>
              <w:jc w:val="both"/>
              <w:rPr>
                <w:b/>
                <w:bCs/>
                <w:lang w:val="en-US"/>
              </w:rPr>
            </w:pPr>
            <w:r>
              <w:rPr>
                <w:b/>
                <w:bCs/>
                <w:lang w:val="en-US"/>
              </w:rPr>
              <w:t>For Pilot light / Warm Standby / Active-Active</w:t>
            </w:r>
          </w:p>
        </w:tc>
      </w:tr>
      <w:tr w:rsidR="00AE4087" w14:paraId="5E38FF18" w14:textId="77777777" w:rsidTr="00791E79">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5"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6" w:name="_Toc30025035"/>
      <w:r w:rsidRPr="002B2ECC">
        <w:rPr>
          <w:b/>
          <w:bCs/>
          <w:lang w:val="en-US"/>
        </w:rPr>
        <w:t>AWS Security Incident Reporting Guide</w:t>
      </w:r>
      <w:bookmarkEnd w:id="5"/>
      <w:bookmarkEnd w:id="6"/>
      <w:r w:rsidRPr="002B2ECC">
        <w:rPr>
          <w:b/>
          <w:bCs/>
          <w:lang w:val="en-US"/>
        </w:rPr>
        <w:t xml:space="preserve"> </w:t>
      </w:r>
    </w:p>
    <w:p w14:paraId="5C19D18E" w14:textId="19830C4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1266AA">
        <w:t>consist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lastRenderedPageBreak/>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Luft and Harrington Ingham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lastRenderedPageBreak/>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lastRenderedPageBreak/>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helps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t xml:space="preserve">Install open source / private toolkit software required for investigation </w:t>
      </w:r>
    </w:p>
    <w:p w14:paraId="687BDB7F" w14:textId="77777777" w:rsidR="001266AA" w:rsidRDefault="001266AA" w:rsidP="001266AA">
      <w:pPr>
        <w:pStyle w:val="ListParagraph"/>
        <w:numPr>
          <w:ilvl w:val="0"/>
          <w:numId w:val="30"/>
        </w:numPr>
      </w:pPr>
      <w:r>
        <w:t>Stop EC2 instance, create a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t xml:space="preserve">Automation </w:t>
      </w:r>
    </w:p>
    <w:p w14:paraId="41E05739" w14:textId="12BAAC34" w:rsidR="00F247EF" w:rsidRDefault="00F247EF" w:rsidP="001266AA">
      <w:r>
        <w:lastRenderedPageBreak/>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bookmarkStart w:id="7" w:name="_GoBack"/>
      <w:bookmarkEnd w:id="7"/>
    </w:p>
    <w:p w14:paraId="721D9A4A" w14:textId="77777777" w:rsidR="001266AA" w:rsidRPr="00AE4087" w:rsidRDefault="001266AA" w:rsidP="00AE4087">
      <w:pPr>
        <w:ind w:left="360"/>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91EE" w14:textId="77777777" w:rsidR="005121A1" w:rsidRDefault="005121A1" w:rsidP="00861E41">
      <w:pPr>
        <w:spacing w:after="0" w:line="240" w:lineRule="auto"/>
      </w:pPr>
      <w:r>
        <w:separator/>
      </w:r>
    </w:p>
  </w:endnote>
  <w:endnote w:type="continuationSeparator" w:id="0">
    <w:p w14:paraId="27C37B87" w14:textId="77777777" w:rsidR="005121A1" w:rsidRDefault="005121A1"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49FA" w14:textId="77777777" w:rsidR="005121A1" w:rsidRDefault="005121A1" w:rsidP="00861E41">
      <w:pPr>
        <w:spacing w:after="0" w:line="240" w:lineRule="auto"/>
      </w:pPr>
      <w:r>
        <w:separator/>
      </w:r>
    </w:p>
  </w:footnote>
  <w:footnote w:type="continuationSeparator" w:id="0">
    <w:p w14:paraId="287B44C6" w14:textId="77777777" w:rsidR="005121A1" w:rsidRDefault="005121A1"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3"/>
  </w:num>
  <w:num w:numId="4">
    <w:abstractNumId w:val="9"/>
  </w:num>
  <w:num w:numId="5">
    <w:abstractNumId w:val="15"/>
  </w:num>
  <w:num w:numId="6">
    <w:abstractNumId w:val="25"/>
  </w:num>
  <w:num w:numId="7">
    <w:abstractNumId w:val="21"/>
  </w:num>
  <w:num w:numId="8">
    <w:abstractNumId w:val="34"/>
  </w:num>
  <w:num w:numId="9">
    <w:abstractNumId w:val="18"/>
  </w:num>
  <w:num w:numId="10">
    <w:abstractNumId w:val="33"/>
  </w:num>
  <w:num w:numId="11">
    <w:abstractNumId w:val="32"/>
  </w:num>
  <w:num w:numId="12">
    <w:abstractNumId w:val="23"/>
  </w:num>
  <w:num w:numId="13">
    <w:abstractNumId w:val="6"/>
  </w:num>
  <w:num w:numId="14">
    <w:abstractNumId w:val="7"/>
  </w:num>
  <w:num w:numId="15">
    <w:abstractNumId w:val="2"/>
  </w:num>
  <w:num w:numId="16">
    <w:abstractNumId w:val="17"/>
  </w:num>
  <w:num w:numId="17">
    <w:abstractNumId w:val="14"/>
  </w:num>
  <w:num w:numId="18">
    <w:abstractNumId w:val="11"/>
  </w:num>
  <w:num w:numId="19">
    <w:abstractNumId w:val="5"/>
  </w:num>
  <w:num w:numId="20">
    <w:abstractNumId w:val="10"/>
  </w:num>
  <w:num w:numId="21">
    <w:abstractNumId w:val="26"/>
  </w:num>
  <w:num w:numId="22">
    <w:abstractNumId w:val="28"/>
  </w:num>
  <w:num w:numId="23">
    <w:abstractNumId w:val="4"/>
  </w:num>
  <w:num w:numId="24">
    <w:abstractNumId w:val="24"/>
  </w:num>
  <w:num w:numId="25">
    <w:abstractNumId w:val="16"/>
  </w:num>
  <w:num w:numId="26">
    <w:abstractNumId w:val="22"/>
  </w:num>
  <w:num w:numId="27">
    <w:abstractNumId w:val="12"/>
  </w:num>
  <w:num w:numId="28">
    <w:abstractNumId w:val="27"/>
  </w:num>
  <w:num w:numId="29">
    <w:abstractNumId w:val="30"/>
  </w:num>
  <w:num w:numId="30">
    <w:abstractNumId w:val="20"/>
  </w:num>
  <w:num w:numId="31">
    <w:abstractNumId w:val="19"/>
  </w:num>
  <w:num w:numId="32">
    <w:abstractNumId w:val="13"/>
  </w:num>
  <w:num w:numId="33">
    <w:abstractNumId w:val="29"/>
  </w:num>
  <w:num w:numId="34">
    <w:abstractNumId w:val="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6646"/>
    <w:rsid w:val="00006A19"/>
    <w:rsid w:val="00024BAE"/>
    <w:rsid w:val="000400D8"/>
    <w:rsid w:val="000520B3"/>
    <w:rsid w:val="000633F1"/>
    <w:rsid w:val="0007482F"/>
    <w:rsid w:val="00083612"/>
    <w:rsid w:val="00092F52"/>
    <w:rsid w:val="000A705B"/>
    <w:rsid w:val="000C04A1"/>
    <w:rsid w:val="000D7FE4"/>
    <w:rsid w:val="000F0117"/>
    <w:rsid w:val="000F26C7"/>
    <w:rsid w:val="001254CF"/>
    <w:rsid w:val="001266AA"/>
    <w:rsid w:val="001354BF"/>
    <w:rsid w:val="00142EC5"/>
    <w:rsid w:val="0014373A"/>
    <w:rsid w:val="00143E31"/>
    <w:rsid w:val="00146CA0"/>
    <w:rsid w:val="0016004C"/>
    <w:rsid w:val="001803EC"/>
    <w:rsid w:val="001961D6"/>
    <w:rsid w:val="00204A9F"/>
    <w:rsid w:val="002169D1"/>
    <w:rsid w:val="002209D9"/>
    <w:rsid w:val="00253C74"/>
    <w:rsid w:val="00265869"/>
    <w:rsid w:val="00295E91"/>
    <w:rsid w:val="002A3D07"/>
    <w:rsid w:val="002A53B5"/>
    <w:rsid w:val="002B2ECC"/>
    <w:rsid w:val="002B5E1C"/>
    <w:rsid w:val="00321181"/>
    <w:rsid w:val="0034440D"/>
    <w:rsid w:val="00375288"/>
    <w:rsid w:val="00385D7E"/>
    <w:rsid w:val="003A55CD"/>
    <w:rsid w:val="003B4233"/>
    <w:rsid w:val="003F1139"/>
    <w:rsid w:val="003F310C"/>
    <w:rsid w:val="004013C7"/>
    <w:rsid w:val="004378D9"/>
    <w:rsid w:val="00450DC5"/>
    <w:rsid w:val="00450E14"/>
    <w:rsid w:val="004805E6"/>
    <w:rsid w:val="0048452A"/>
    <w:rsid w:val="00485342"/>
    <w:rsid w:val="00494E56"/>
    <w:rsid w:val="004B367D"/>
    <w:rsid w:val="004B583F"/>
    <w:rsid w:val="004D2628"/>
    <w:rsid w:val="004D7048"/>
    <w:rsid w:val="005121A1"/>
    <w:rsid w:val="00522083"/>
    <w:rsid w:val="00534E80"/>
    <w:rsid w:val="0055096A"/>
    <w:rsid w:val="00565D5B"/>
    <w:rsid w:val="00593446"/>
    <w:rsid w:val="005A47BA"/>
    <w:rsid w:val="005A4EC1"/>
    <w:rsid w:val="005A5BF1"/>
    <w:rsid w:val="005C2F24"/>
    <w:rsid w:val="005E5CD6"/>
    <w:rsid w:val="005F0973"/>
    <w:rsid w:val="006037F8"/>
    <w:rsid w:val="00606E4E"/>
    <w:rsid w:val="0061013C"/>
    <w:rsid w:val="0062666F"/>
    <w:rsid w:val="00627928"/>
    <w:rsid w:val="0065443E"/>
    <w:rsid w:val="00667E01"/>
    <w:rsid w:val="006A1447"/>
    <w:rsid w:val="006B0728"/>
    <w:rsid w:val="006B2821"/>
    <w:rsid w:val="006D0913"/>
    <w:rsid w:val="006D136D"/>
    <w:rsid w:val="006D25FA"/>
    <w:rsid w:val="006E56F5"/>
    <w:rsid w:val="006F27F3"/>
    <w:rsid w:val="00700B8D"/>
    <w:rsid w:val="00706A80"/>
    <w:rsid w:val="00714EBC"/>
    <w:rsid w:val="007240AC"/>
    <w:rsid w:val="0073737C"/>
    <w:rsid w:val="00744CC5"/>
    <w:rsid w:val="00746920"/>
    <w:rsid w:val="00753FC8"/>
    <w:rsid w:val="00774333"/>
    <w:rsid w:val="00783B00"/>
    <w:rsid w:val="00787DE2"/>
    <w:rsid w:val="007917A3"/>
    <w:rsid w:val="007D3122"/>
    <w:rsid w:val="007E5C7C"/>
    <w:rsid w:val="007F09BA"/>
    <w:rsid w:val="007F600E"/>
    <w:rsid w:val="00803383"/>
    <w:rsid w:val="00811F2E"/>
    <w:rsid w:val="00847250"/>
    <w:rsid w:val="00847B65"/>
    <w:rsid w:val="00861E41"/>
    <w:rsid w:val="00884CF3"/>
    <w:rsid w:val="00884D82"/>
    <w:rsid w:val="0089646C"/>
    <w:rsid w:val="008D25C7"/>
    <w:rsid w:val="008F0C0F"/>
    <w:rsid w:val="00937AD1"/>
    <w:rsid w:val="009475AD"/>
    <w:rsid w:val="00963CDA"/>
    <w:rsid w:val="009757AD"/>
    <w:rsid w:val="00977827"/>
    <w:rsid w:val="009C7C88"/>
    <w:rsid w:val="009D35F5"/>
    <w:rsid w:val="00A16503"/>
    <w:rsid w:val="00A2570C"/>
    <w:rsid w:val="00A64420"/>
    <w:rsid w:val="00A85E52"/>
    <w:rsid w:val="00A86604"/>
    <w:rsid w:val="00AA3A11"/>
    <w:rsid w:val="00AA5457"/>
    <w:rsid w:val="00AC3B31"/>
    <w:rsid w:val="00AE4087"/>
    <w:rsid w:val="00AE44A8"/>
    <w:rsid w:val="00B52C3D"/>
    <w:rsid w:val="00B7015E"/>
    <w:rsid w:val="00B81D13"/>
    <w:rsid w:val="00BA1ADB"/>
    <w:rsid w:val="00BD53D9"/>
    <w:rsid w:val="00BE298A"/>
    <w:rsid w:val="00C01D15"/>
    <w:rsid w:val="00C24284"/>
    <w:rsid w:val="00C40D08"/>
    <w:rsid w:val="00C66D4C"/>
    <w:rsid w:val="00C730B2"/>
    <w:rsid w:val="00CA6ADE"/>
    <w:rsid w:val="00CD248C"/>
    <w:rsid w:val="00CF0D0E"/>
    <w:rsid w:val="00CF5A34"/>
    <w:rsid w:val="00D27BD1"/>
    <w:rsid w:val="00D30B35"/>
    <w:rsid w:val="00D74C57"/>
    <w:rsid w:val="00D7642B"/>
    <w:rsid w:val="00D855D8"/>
    <w:rsid w:val="00D959A2"/>
    <w:rsid w:val="00DB12B0"/>
    <w:rsid w:val="00DB4825"/>
    <w:rsid w:val="00DC2D8F"/>
    <w:rsid w:val="00DD373B"/>
    <w:rsid w:val="00E10086"/>
    <w:rsid w:val="00E158BE"/>
    <w:rsid w:val="00E658DD"/>
    <w:rsid w:val="00E70FB7"/>
    <w:rsid w:val="00E87873"/>
    <w:rsid w:val="00E93C93"/>
    <w:rsid w:val="00EA561D"/>
    <w:rsid w:val="00EB2F7D"/>
    <w:rsid w:val="00EC4DEC"/>
    <w:rsid w:val="00ED3E78"/>
    <w:rsid w:val="00ED4DC8"/>
    <w:rsid w:val="00F12FD9"/>
    <w:rsid w:val="00F247EF"/>
    <w:rsid w:val="00F4779F"/>
    <w:rsid w:val="00F50460"/>
    <w:rsid w:val="00FB630C"/>
    <w:rsid w:val="00FB74F6"/>
    <w:rsid w:val="00FC2DF5"/>
    <w:rsid w:val="00FD289C"/>
    <w:rsid w:val="00FF6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CBD1D-93A7-487E-AD5D-E025F36B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146</cp:revision>
  <dcterms:created xsi:type="dcterms:W3CDTF">2019-12-21T07:34:00Z</dcterms:created>
  <dcterms:modified xsi:type="dcterms:W3CDTF">2020-01-17T17:29:00Z</dcterms:modified>
</cp:coreProperties>
</file>