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Original Manuscript ID: [Insert Manuscript ID Here]</w:t>
      </w:r>
    </w:p>
    <w:p>
      <w:r>
        <w:t>Original Article Title: [Insert Manuscript Title Here]</w:t>
        <w:br/>
      </w:r>
    </w:p>
    <w:p>
      <w:r>
        <w:t>To: IEEE Access Editor</w:t>
      </w:r>
    </w:p>
    <w:p>
      <w:r>
        <w:t>Re: Response to reviewers</w:t>
        <w:br/>
      </w:r>
    </w:p>
    <w:p>
      <w:r>
        <w:t>Dear Editor,</w:t>
        <w:br/>
      </w:r>
    </w:p>
    <w:p>
      <w:r>
        <w:t>Thank you for allowing a resubmission of our manuscript, with an opportunity to address the reviewers' comments.</w:t>
      </w:r>
    </w:p>
    <w:p>
      <w:r>
        <w:t>We are uploading (a) our point-by-point response to the comments (below) (response to reviewers, under 'Author's Response Files'), (b) an updated manuscript with red text indicating changes (as 'Highlighted PDF'), and (c) a clean updated manuscript without highlights ('Main Manuscript').</w:t>
        <w:br/>
      </w:r>
    </w:p>
    <w:p>
      <w:r>
        <w:t>Best regards,</w:t>
      </w:r>
    </w:p>
    <w:p>
      <w:r>
        <w:t>[Insert Author Names Here]</w:t>
        <w:br/>
      </w:r>
    </w:p>
    <w:p>
      <w:r>
        <w:t>--------------------------------------------------</w:t>
        <w:br/>
      </w:r>
    </w:p>
    <w:p>
      <w:r>
        <w:rPr>
          <w:b/>
        </w:rPr>
        <w:t xml:space="preserve">Reviewer#1, Concern #1: </w:t>
      </w:r>
      <w:r>
        <w:t>My main concern is that some of the conclusions are a little stronger than the evidence currently supports. The improvement over vanilla GP is real, but still relatively modest in practical terms, so I would suggest being a bit more measured in how the results are framed.</w:t>
      </w:r>
    </w:p>
    <w:p>
      <w:r>
        <w:rPr>
          <w:b/>
        </w:rPr>
        <w:t xml:space="preserve">Author response: </w:t>
      </w:r>
      <w:r>
        <w:t>Thank you for this review. We agree that our original phrasing inadvertently overstated the magnitude of the outperformance.</w:t>
      </w:r>
    </w:p>
    <w:p>
      <w:r>
        <w:rPr>
          <w:b/>
        </w:rPr>
        <w:t xml:space="preserve">Author action: </w:t>
      </w:r>
      <w:r>
        <w:t>We have carefully revised the language in the Abstract, Discussion, and Conclusion sections to be more measured. The text now accurately reflects that the HMM-GPα improvements are structurally meaningful but practically modest when compared to the Vanilla GP model.</w:t>
        <w:br/>
      </w:r>
    </w:p>
    <w:p>
      <w:r>
        <w:rPr>
          <w:b/>
        </w:rPr>
        <w:t xml:space="preserve">Reviewer#1, Concern #2: </w:t>
      </w:r>
      <w:r>
        <w:t>I also think the paper needs a little more discussion around data-mining risk and backtest overfitting. Since the search space is extremely flexible, I would have liked to see more discussion around selection bias or probability of backtest overfitting. The bootstrap significance test is a good start, but additional robustness analysis would strengthen the paper considerably.</w:t>
      </w:r>
    </w:p>
    <w:p>
      <w:r>
        <w:rPr>
          <w:b/>
        </w:rPr>
        <w:t xml:space="preserve">Author response: </w:t>
      </w:r>
      <w:r>
        <w:t>Thank you for this excellent suggestion. We agree that mitigating selection bias is a critical requirement for any GP-based alpha mining framework.</w:t>
      </w:r>
    </w:p>
    <w:p>
      <w:r>
        <w:rPr>
          <w:b/>
        </w:rPr>
        <w:t xml:space="preserve">Author action: </w:t>
      </w:r>
      <w:r>
        <w:t>We introduced a new subsection 'Statistical Significance and Robustness' in the results section. We performed a Permutation Test (with 500 random shuffles of cross-sectional return labels) to confirm the structural persistence of our alphas. Additionally, we calculated the Deflated Sharpe Ratio (DSR) over our massive trial search space to mathematically penalize and explicitly control for multiple testing and selection bias.</w:t>
        <w:br/>
      </w:r>
    </w:p>
    <w:p>
      <w:r>
        <w:rPr>
          <w:b/>
        </w:rPr>
        <w:t xml:space="preserve">Reviewer#1, Concern #3: </w:t>
      </w:r>
      <w:r>
        <w:t>Since all experiments are based on NIFTY-50 data, I would avoid implying broader generalization beyond this market unless additional evidence is provided.</w:t>
      </w:r>
    </w:p>
    <w:p>
      <w:r>
        <w:rPr>
          <w:b/>
        </w:rPr>
        <w:t xml:space="preserve">Author response: </w:t>
      </w:r>
      <w:r>
        <w:t>Thank you for this valuable feedback. It is crucial to ground our claims in diverse market realities.</w:t>
      </w:r>
    </w:p>
    <w:p>
      <w:r>
        <w:rPr>
          <w:b/>
        </w:rPr>
        <w:t xml:space="preserve">Author action: </w:t>
      </w:r>
      <w:r>
        <w:t>We added a new subsection 'Cross-Market Robustness: US and Chinese Markets' to the manuscript. We expanded our experiments to include the highly volatile Chinese Market (CSI 300), where the framework successfully validated our claims, and the homogeneous US Market (S&amp;P 500), where the model gracefully degraded into a single-regime model.</w:t>
        <w:br/>
      </w:r>
    </w:p>
    <w:p>
      <w:r>
        <w:t>--------------------------------------------------</w:t>
        <w:br/>
      </w:r>
    </w:p>
    <w:p>
      <w:r>
        <w:rPr>
          <w:b/>
        </w:rPr>
        <w:t xml:space="preserve">Reviewer#2, Concern #1: </w:t>
      </w:r>
      <w:r>
        <w:t>The assumption of a Long-Short portfolio in the NIFTY-50 context is problematic because it ignores the high cost of borrowing stocks for shorting in India and the regulatory constraints associated with it.</w:t>
      </w:r>
    </w:p>
    <w:p>
      <w:r>
        <w:rPr>
          <w:b/>
        </w:rPr>
        <w:t xml:space="preserve">Author response: </w:t>
      </w:r>
      <w:r>
        <w:t>Thank you for pointing out this practical limitation. We completely agree that a long-short assumption is economically unrealistic in emerging markets like India.</w:t>
      </w:r>
    </w:p>
    <w:p>
      <w:r>
        <w:rPr>
          <w:b/>
        </w:rPr>
        <w:t xml:space="preserve">Author action: </w:t>
      </w:r>
      <w:r>
        <w:t>We introduced a new subsection 'Long-Only Backtest and Transaction Cost Sensitivity.' We implemented a strict long-only portfolio constraint (top quintile) and applied a realistic 25 bps transaction cost per trade. The results (summarized in the new Table 6) demonstrate that both Vanilla GP and HMM-GPα maintain strong profitability even without the shorting leg.</w:t>
        <w:br/>
      </w:r>
    </w:p>
    <w:p>
      <w:r>
        <w:rPr>
          <w:b/>
        </w:rPr>
        <w:t xml:space="preserve">Reviewer#2, Concern #2: </w:t>
      </w:r>
      <w:r>
        <w:t>The 'Selection Bias' (choosing the best formula based on the validation set) is a known technical pitfall that the authors do not fully mitigate.</w:t>
      </w:r>
    </w:p>
    <w:p>
      <w:r>
        <w:rPr>
          <w:b/>
        </w:rPr>
        <w:t xml:space="preserve">Author response: </w:t>
      </w:r>
      <w:r>
        <w:t>Thank you for this suggestion. It is a vital point for the credibility of evolutionary algorithms in finance.</w:t>
      </w:r>
    </w:p>
    <w:p>
      <w:r>
        <w:rPr>
          <w:b/>
        </w:rPr>
        <w:t xml:space="preserve">Author action: </w:t>
      </w:r>
      <w:r>
        <w:t>As noted in our response to Reviewer 1, we implemented the Deflated Sharpe Ratio (DSR) to directly address selection bias across the entire evolutionary process. We expanded our discussion to clarify that while the strict DSR penalty suppresses the significance of the unconstrained Long-Short Sharpe ratio, the Long-Only implementation proves genuine predictive power.</w:t>
        <w:br/>
      </w:r>
    </w:p>
    <w:p>
      <w:r>
        <w:rPr>
          <w:b/>
        </w:rPr>
        <w:t xml:space="preserve">Reviewer#2, Concern #3: </w:t>
      </w:r>
      <w:r>
        <w:t>The authors repeatedly emphasize 'interpretability' and 'human-readable mathematical expressions' as a core advantage. However, they do not actually list the final evolved formulas in the text. To be comprehensive, a paper claiming to provide 'interpretable formulas' must show the formulas themselves so the reader can verify if they make economic sense.</w:t>
      </w:r>
    </w:p>
    <w:p>
      <w:r>
        <w:rPr>
          <w:b/>
        </w:rPr>
        <w:t xml:space="preserve">Author response: </w:t>
      </w:r>
      <w:r>
        <w:t>Thank you for this review. We apologize for the omission and agree that listing the actual mathematical expressions is essential for transparency.</w:t>
      </w:r>
    </w:p>
    <w:p>
      <w:r>
        <w:rPr>
          <w:b/>
        </w:rPr>
        <w:t xml:space="preserve">Author action: </w:t>
      </w:r>
      <w:r>
        <w:t>We added a new subsection 'Formula Interpretability and Economic Logic.' We extracted and explicitly listed the raw formulas generated by the DEAP trees for the Bull, Bear, and Sideways regimes. We also added an economic discussion explaining how the formulas rediscover established behaviors, such as scaling momentum with simple moving averages during bull markets and leveraging volatility-adjusted mean-reversion during bear and sideways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