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class Bad_area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area(int length, int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if (length &lt; 0 || width &lt; 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Bad_area();</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length *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error, 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incr (int &amp;x)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++x;</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hAnsi="Droid Sans Mono"/>
          <w:sz w:val="18"/>
          <w:szCs w:val="18"/>
        </w:rPr>
      </w:pPr>
      <w:r>
        <w:rPr>
          <w:rFonts w:ascii="Droid Sans Mono" w:hAnsi="Droid Sans Mono"/>
          <w:sz w:val="18"/>
          <w:szCs w:val="18"/>
        </w:rPr>
        <w:tab/>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f(T x);</w:t>
        <w:tab/>
        <w:t>//(1)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f(y);</w:t>
        <w:tab/>
        <w:tab/>
        <w:t>//(2)</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func(double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double x = square(d);</w:t>
        <w:tab/>
        <w:tab/>
        <w:t>// OK, as x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 xml:space="preserve">constexpr double y = square(d); </w:t>
        <w:tab/>
        <w:t>// error, as d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p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z = square(p);</w:t>
        <w:tab/>
        <w:t>// OK, as p is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Date&amp; default_date()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static const Date date(1970,1,1);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date;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{2014, 8, 3};</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year = y;</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month = m;</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date = 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 xml:space="preserve">When initializing variables in initializer list of constructor, use same order as they appear in class definition. This is because initialization actually happens in the order in which members are declared in class definition. This </w:t>
      </w:r>
      <w:r>
        <w:rPr>
          <w:rFonts w:ascii="Adobe Garamond Pro" w:hAnsi="Adobe Garamond Pro"/>
        </w:rPr>
        <w:t xml:space="preserve">is </w:t>
      </w:r>
      <w:r>
        <w:rPr>
          <w:rFonts w:ascii="Adobe Garamond Pro" w:hAnsi="Adobe Garamond Pro"/>
        </w:rPr>
        <w:t xml:space="preserve">just </w:t>
      </w:r>
      <w:r>
        <w:rPr>
          <w:rFonts w:ascii="Adobe Garamond Pro" w:hAnsi="Adobe Garamond Pro"/>
        </w:rPr>
        <w:t xml:space="preserve">to </w:t>
      </w:r>
      <w:r>
        <w:rPr>
          <w:rFonts w:ascii="Adobe Garamond Pro" w:hAnsi="Adobe Garamond Pro"/>
        </w:rPr>
        <w:t>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w:t>
      </w:r>
      <w:r>
        <w:rPr>
          <w:rFonts w:ascii="Adobe Garamond Pro" w:hAnsi="Adobe Garamond Pro"/>
          <w:i w:val="false"/>
          <w:iCs w:val="false"/>
        </w:rPr>
        <w:t>provide a printable representation of Date objects</w:t>
      </w:r>
      <w:r>
        <w:rPr>
          <w:rFonts w:ascii="Adobe Garamond Pro" w:hAnsi="Adobe Garamond Pro"/>
          <w:i w:val="false"/>
          <w:iCs w:val="false"/>
        </w:rPr>
        <w:t xml:space="preserve">. You write the function to override it within your namespace. </w:t>
      </w:r>
      <w:r>
        <w:rPr>
          <w:rFonts w:ascii="Adobe Garamond Pro" w:hAnsi="Adobe Garamond Pro"/>
          <w:i w:val="false"/>
          <w:iCs w:val="false"/>
        </w:rPr>
        <w:t>Ideally, i</w:t>
      </w:r>
      <w:r>
        <w:rPr>
          <w:rFonts w:ascii="Adobe Garamond Pro" w:hAnsi="Adobe Garamond Pro"/>
          <w:i w:val="false"/>
          <w:iCs w:val="false"/>
        </w:rPr>
        <w:t xml:space="preserve">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4" w:lineRule="auto"/>
      <w:contextualSpacing w:val="false"/>
    </w:pPr>
    <w:rPr>
      <w:rFonts w:ascii="Times New Roman" w:cs="Lohit Hindi" w:eastAsia="DejaVu Sans" w:hAnsi="Times New Roman"/>
      <w:color w:val="00000A"/>
      <w:sz w:val="24"/>
      <w:szCs w:val="24"/>
      <w:lang w:bidi="hi-IN" w:eastAsia="zh-CN" w:val="en-IN"/>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