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dobe Garamond Pro" w:hAnsi="Adobe Garamond Pro"/>
          <w:b/>
          <w:bCs/>
          <w:sz w:val="36"/>
          <w:szCs w:val="36"/>
        </w:rPr>
      </w:pPr>
      <w:r>
        <w:rPr>
          <w:rFonts w:ascii="Adobe Garamond Pro" w:hAnsi="Adobe Garamond Pro"/>
          <w:b/>
          <w:bCs/>
          <w:sz w:val="36"/>
          <w:szCs w:val="36"/>
        </w:rPr>
        <w:t>HASKELL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head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head :: [a] -&gt; a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fst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fst :: (a,b) -&gt; a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(==)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(==) :: Eq a =&gt; a -&gt; a -&gt; Bool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Here </w:t>
      </w:r>
      <w:r>
        <w:rPr>
          <w:rFonts w:ascii="Adobe Garamond Pro" w:hAnsi="Adobe Garamond Pro"/>
          <w:i/>
          <w:iCs/>
        </w:rPr>
        <w:t>Eq a =&gt; a -&gt; a -&gt; Bool</w:t>
      </w:r>
      <w:r>
        <w:rPr>
          <w:rFonts w:ascii="Adobe Garamond Pro" w:hAnsi="Adobe Garamond Pro"/>
        </w:rPr>
        <w:t xml:space="preserve"> is the type of function. This means that a should be a member of typeclass Eq for it to work in this function. This is called class constraint. All standard haskell types are a member of Eq typeclass.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Any type that can be tested using == or /= should be a part of Eq typeclass.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A function can be used in infix notation by surronding it with `&lt;function-name&gt;`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elem can be used like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elem 2 [1,2,3], or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2 `elem` [1,2,3]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Similar to Eq, there is an </w:t>
      </w:r>
      <w:r>
        <w:rPr>
          <w:rFonts w:ascii="Adobe Garamond Pro" w:hAnsi="Adobe Garamond Pro"/>
          <w:i/>
          <w:iCs/>
        </w:rPr>
        <w:t>Ord</w:t>
      </w:r>
      <w:r>
        <w:rPr>
          <w:rFonts w:ascii="Adobe Garamond Pro" w:hAnsi="Adobe Garamond Pro"/>
        </w:rPr>
        <w:t xml:space="preserve"> typeclass. All types that are a part of this class can be arranged in an ordered sequence.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Example, :t (&gt;) should be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ab/>
        <w:t>(&gt;) :: Ord a =&gt; a -&gt; a -&gt; Bool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To be a member of Ord typeclass, a type must be a member of Eq typeclass also.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There also exists a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function, whose job is to compare to values that are a member of Ord typeclass. </w:t>
      </w:r>
      <w:r>
        <w:rPr>
          <w:rFonts w:ascii="Adobe Garamond Pro" w:hAnsi="Adobe Garamond Pro"/>
          <w:i/>
          <w:iCs/>
        </w:rPr>
        <w:t>Compare</w:t>
      </w:r>
      <w:r>
        <w:rPr>
          <w:rFonts w:ascii="Adobe Garamond Pro" w:hAnsi="Adobe Garamond Pro"/>
        </w:rPr>
        <w:t xml:space="preserve"> returns a value of type </w:t>
      </w:r>
      <w:r>
        <w:rPr>
          <w:rFonts w:ascii="Adobe Garamond Pro" w:hAnsi="Adobe Garamond Pro"/>
          <w:i/>
          <w:iCs/>
        </w:rPr>
        <w:t>Ordering</w:t>
      </w:r>
      <w:r>
        <w:rPr>
          <w:rFonts w:ascii="Adobe Garamond Pro" w:hAnsi="Adobe Garamond Pro"/>
        </w:rPr>
        <w:t>. There are 3 possible values for Ordering type; LT, GT and EQ.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example,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</w:rPr>
        <w:t xml:space="preserve">&gt; </w:t>
      </w:r>
      <w:r>
        <w:rPr>
          <w:rFonts w:ascii="Adobe Garamond Pro" w:hAnsi="Adobe Garamond Pro"/>
          <w:i/>
          <w:iCs/>
        </w:rPr>
        <w:t>2 `compare` 3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LT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&gt; </w:t>
      </w:r>
      <w:r>
        <w:rPr>
          <w:rFonts w:ascii="Adobe Garamond Pro" w:hAnsi="Adobe Garamond Pro"/>
        </w:rPr>
        <w:t>:t LT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LT :: Ordering.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Show </w:t>
      </w:r>
      <w:r>
        <w:rPr>
          <w:rFonts w:ascii="Adobe Garamond Pro" w:hAnsi="Adobe Garamond Pro"/>
        </w:rPr>
        <w:t xml:space="preserve"> is another  typeclass, which represents types that can be “shown” as strings. The most useful function that delas with Show typeclass values is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>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show 3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“</w:t>
      </w:r>
      <w:r>
        <w:rPr>
          <w:rFonts w:ascii="Adobe Garamond Pro" w:hAnsi="Adobe Garamond Pro"/>
        </w:rPr>
        <w:t>3”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&gt;:t show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show :: Show a =&gt; a -&gt; [Char]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Note that [Char] and String are same. There is no difference. Also, types always start with a capital letter.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 xml:space="preserve">read </w:t>
      </w:r>
      <w:r>
        <w:rPr>
          <w:rFonts w:ascii="Adobe Garamond Pro" w:hAnsi="Adobe Garamond Pro"/>
        </w:rPr>
        <w:t xml:space="preserve">function is opposite to </w:t>
      </w:r>
      <w:r>
        <w:rPr>
          <w:rFonts w:ascii="Adobe Garamond Pro" w:hAnsi="Adobe Garamond Pro"/>
          <w:i/>
          <w:iCs/>
        </w:rPr>
        <w:t>show</w:t>
      </w:r>
      <w:r>
        <w:rPr>
          <w:rFonts w:ascii="Adobe Garamond Pro" w:hAnsi="Adobe Garamond Pro"/>
        </w:rPr>
        <w:t xml:space="preserve">. It takes in a String and returns a value whose type is of class </w:t>
      </w:r>
      <w:r>
        <w:rPr>
          <w:rFonts w:ascii="Adobe Garamond Pro" w:hAnsi="Adobe Garamond Pro"/>
          <w:i/>
          <w:iCs/>
        </w:rPr>
        <w:t>Read</w:t>
      </w:r>
      <w:r>
        <w:rPr>
          <w:rFonts w:ascii="Adobe Garamond Pro" w:hAnsi="Adobe Garamond Pro"/>
        </w:rPr>
        <w:t>. This means it can be parsed from a string into a value of its own type.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read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read :: Read a =&gt; String -&gt; a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example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“42” + 5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47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*error*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This error occurs as haskell doesn't know how to interpret this value. It can be Int, Integer, Float, Double. Unless we provide a context of use, there is no way to know how to parse it. Hence the error.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However, using </w:t>
      </w:r>
      <w:r>
        <w:rPr>
          <w:rFonts w:ascii="Adobe Garamond Pro" w:hAnsi="Adobe Garamond Pro"/>
          <w:i/>
          <w:iCs/>
        </w:rPr>
        <w:t>explicit type annotation</w:t>
      </w:r>
      <w:r>
        <w:rPr>
          <w:rFonts w:ascii="Adobe Garamond Pro" w:hAnsi="Adobe Garamond Pro"/>
        </w:rPr>
        <w:t>, we can tell interpreter how to parse the string without context. Example,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read “20” :: Int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20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Type annotation explicitly states what the type of an expression should be.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Enum</w:t>
      </w:r>
      <w:r>
        <w:rPr>
          <w:rFonts w:ascii="Adobe Garamond Pro" w:hAnsi="Adobe Garamond Pro"/>
        </w:rPr>
        <w:t xml:space="preserve"> typeclass can be enumerated, i.e., they can be used in range expressions. They have a sequential ordering from which ranges can be generated.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succ 41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42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succ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succ :: Enum t =&gt; t -&gt; t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Types of </w:t>
      </w:r>
      <w:r>
        <w:rPr>
          <w:rFonts w:ascii="Adobe Garamond Pro" w:hAnsi="Adobe Garamond Pro"/>
          <w:i/>
          <w:iCs/>
        </w:rPr>
        <w:t>Bounded</w:t>
      </w:r>
      <w:r>
        <w:rPr>
          <w:rFonts w:ascii="Adobe Garamond Pro" w:hAnsi="Adobe Garamond Pro"/>
        </w:rPr>
        <w:t xml:space="preserve"> typeclass have upper and lower bounds.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minBound :: Int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-9223372036854775808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minBound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minBound :: Bounded a =&gt; a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 xml:space="preserve">They are like </w:t>
      </w:r>
      <w:r>
        <w:rPr>
          <w:rFonts w:ascii="Adobe Garamond Pro" w:hAnsi="Adobe Garamond Pro"/>
          <w:i/>
          <w:iCs/>
        </w:rPr>
        <w:t>polymorphic constants</w:t>
      </w:r>
      <w:r>
        <w:rPr>
          <w:rFonts w:ascii="Adobe Garamond Pro" w:hAnsi="Adobe Garamond Pro"/>
        </w:rPr>
        <w:t>, as their return value depends on the type, and its constant.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Tuples can also be Bounded if all elements inside them are Bounded.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Num</w:t>
      </w:r>
      <w:r>
        <w:rPr>
          <w:rFonts w:ascii="Adobe Garamond Pro" w:hAnsi="Adobe Garamond Pro"/>
        </w:rPr>
        <w:t xml:space="preserve"> is the numeric typeclass.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Whole numbers are also polymorphic constants.  They can act as any type that is a member of Num typeclass, eg, Int, Integer, Float etc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20 :: Float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20.0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20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20 :: Num a =&gt; a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  <w:i/>
          <w:iCs/>
        </w:rPr>
        <w:t>Integral</w:t>
      </w:r>
      <w:r>
        <w:rPr>
          <w:rFonts w:ascii="Adobe Garamond Pro" w:hAnsi="Adobe Garamond Pro"/>
        </w:rPr>
        <w:t xml:space="preserve"> typeclass includes only Int and Integer. </w:t>
      </w:r>
      <w:r>
        <w:rPr>
          <w:rFonts w:ascii="Adobe Garamond Pro" w:hAnsi="Adobe Garamond Pro"/>
          <w:i/>
          <w:iCs/>
        </w:rPr>
        <w:t>Floating</w:t>
      </w:r>
      <w:r>
        <w:rPr>
          <w:rFonts w:ascii="Adobe Garamond Pro" w:hAnsi="Adobe Garamond Pro"/>
        </w:rPr>
        <w:t xml:space="preserve"> includes Float and Double.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&gt; :t fromIntegral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fromIntegral :: (Integral a, Num b) =&gt; a -&gt; b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This is for those general situations when a function returns an Integral type and its result needs to be used with Floating point types for calculation.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  <w:t>RealFloat is another typeclass. It is probably a subclass of Floating. Do not know its exact purpose right now, but maybe it excludes irrational numbers?</w:t>
      </w:r>
    </w:p>
    <w:p>
      <w:pPr>
        <w:pStyle w:val="style0"/>
        <w:rPr>
          <w:rFonts w:ascii="Adobe Garamond Pro" w:hAnsi="Adobe Garamond Pro"/>
        </w:rPr>
      </w:pPr>
      <w:r>
        <w:rPr>
          <w:rFonts w:ascii="Adobe Garamond Pro" w:hAnsi="Adobe Garamond Pro"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/>
          <w:iCs/>
        </w:rPr>
        <w:t>let</w:t>
      </w:r>
      <w:r>
        <w:rPr>
          <w:rFonts w:ascii="Adobe Garamond Pro" w:hAnsi="Adobe Garamond Pro"/>
          <w:iCs/>
        </w:rPr>
        <w:t xml:space="preserve"> bindings are another way to define local variables, other than </w:t>
      </w:r>
      <w:r>
        <w:rPr>
          <w:rFonts w:ascii="Adobe Garamond Pro" w:hAnsi="Adobe Garamond Pro"/>
          <w:i/>
          <w:iCs/>
        </w:rPr>
        <w:t>where</w:t>
      </w:r>
      <w:r>
        <w:rPr>
          <w:rFonts w:ascii="Adobe Garamond Pro" w:hAnsi="Adobe Garamond Pro"/>
          <w:iCs/>
        </w:rPr>
        <w:t>. They are more local than where, as they do not span across guards.</w:t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Syntax of let bindings;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let &lt;variable definitions&gt; in &lt;expression&gt;</w:t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example</w:t>
      </w:r>
    </w:p>
    <w:p>
      <w:pPr>
        <w:pStyle w:val="style0"/>
        <w:ind w:hanging="0" w:left="709" w:right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>cylinder r h =</w:t>
      </w:r>
    </w:p>
    <w:p>
      <w:pPr>
        <w:pStyle w:val="style0"/>
        <w:ind w:hanging="0" w:left="709" w:right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r>
        <w:rPr>
          <w:rFonts w:ascii="Adobe Garamond Pro" w:hAnsi="Adobe Garamond Pro"/>
          <w:i/>
          <w:iCs/>
        </w:rPr>
        <w:t>let pii = pi</w:t>
      </w:r>
    </w:p>
    <w:p>
      <w:pPr>
        <w:pStyle w:val="style0"/>
        <w:ind w:hanging="0" w:left="709" w:right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r>
        <w:rPr>
          <w:rFonts w:ascii="Adobe Garamond Pro" w:hAnsi="Adobe Garamond Pro"/>
          <w:i/>
          <w:iCs/>
        </w:rPr>
        <w:t>sideArea = 2 * pii * r * h</w:t>
      </w:r>
    </w:p>
    <w:p>
      <w:pPr>
        <w:pStyle w:val="style0"/>
        <w:ind w:hanging="0" w:left="709" w:right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    </w:t>
      </w:r>
      <w:r>
        <w:rPr>
          <w:rFonts w:ascii="Adobe Garamond Pro" w:hAnsi="Adobe Garamond Pro"/>
          <w:i/>
          <w:iCs/>
        </w:rPr>
        <w:t>topArea = pii * r^2</w:t>
      </w:r>
    </w:p>
    <w:p>
      <w:pPr>
        <w:pStyle w:val="style0"/>
        <w:ind w:hanging="0" w:left="709" w:right="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/>
          <w:iCs/>
        </w:rPr>
        <w:t xml:space="preserve">    </w:t>
      </w:r>
      <w:r>
        <w:rPr>
          <w:rFonts w:ascii="Adobe Garamond Pro" w:hAnsi="Adobe Garamond Pro"/>
          <w:i/>
          <w:iCs/>
        </w:rPr>
        <w:t>in sideArea + 2*topArea</w:t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Note that variables are aligned to left. This is required, similar to where bindings. let binding can be used anywhere an expression can be used.</w:t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If we want to bind several variables in one statement in a single line, variable declarations can be separated by semi-colons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a=10; b=20 in a+b)</w:t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  <w:t>Even pattern matching is available in let bindings</w:t>
      </w:r>
    </w:p>
    <w:p>
      <w:pPr>
        <w:pStyle w:val="style0"/>
        <w:rPr>
          <w:rFonts w:ascii="Adobe Garamond Pro" w:hAnsi="Adobe Garamond Pro"/>
          <w:i/>
          <w:iCs/>
        </w:rPr>
      </w:pPr>
      <w:r>
        <w:rPr>
          <w:rFonts w:ascii="Adobe Garamond Pro" w:hAnsi="Adobe Garamond Pro"/>
          <w:iCs/>
        </w:rPr>
        <w:t xml:space="preserve">&gt; </w:t>
      </w:r>
      <w:r>
        <w:rPr>
          <w:rFonts w:ascii="Adobe Garamond Pro" w:hAnsi="Adobe Garamond Pro"/>
          <w:i/>
          <w:iCs/>
        </w:rPr>
        <w:t>4 * (let (a,b) = (1,2) in a+b)</w:t>
      </w:r>
    </w:p>
    <w:p>
      <w:pPr>
        <w:pStyle w:val="style0"/>
        <w:rPr/>
      </w:pPr>
      <w:r>
        <w:rPr/>
      </w:r>
    </w:p>
    <w:p>
      <w:pPr>
        <w:pStyle w:val="style0"/>
        <w:rPr>
          <w:rFonts w:ascii="DejaVu Serif Condensed" w:hAnsi="DejaVu Serif Condensed"/>
          <w:iCs/>
        </w:rPr>
      </w:pPr>
      <w:bookmarkStart w:id="0" w:name="_GoBack"/>
      <w:bookmarkStart w:id="1" w:name="_GoBack"/>
      <w:bookmarkEnd w:id="1"/>
      <w:r>
        <w:rPr>
          <w:rFonts w:ascii="DejaVu Serif Condensed" w:hAnsi="DejaVu Serif Condensed"/>
          <w:iCs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rPr>
          <w:rFonts w:ascii="Adobe Garamond Pro" w:hAnsi="Adobe Garamond Pro"/>
          <w:iCs/>
        </w:rPr>
      </w:pPr>
      <w:r>
        <w:rPr>
          <w:rFonts w:ascii="Adobe Garamond Pro" w:hAnsi="Adobe Garamond Pro"/>
          <w:iCs/>
        </w:rPr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Adobe Garamond Pro">
    <w:charset w:val="01"/>
    <w:family w:val="roman"/>
    <w:pitch w:val="variable"/>
  </w:font>
  <w:font w:name="DejaVu Serif Condense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textAlignment w:val="baselin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2014-07-01T07:41:00Z</dcterms:created>
  <dc:creator>Kaustubh Bansal</dc:creator>
  <cp:lastModifiedBy>Kaustubh Bansal</cp:lastModifiedBy>
  <dcterms:modified xsi:type="dcterms:W3CDTF">2014-07-02T12:37:00Z</dcterms:modified>
  <cp:revision>9</cp:revision>
</cp:coreProperties>
</file>