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Neighbourhood Reconciliation</w:t>
      </w:r>
    </w:p>
    <w:p>
      <w:pPr>
        <w:spacing w:after="60"/>
      </w:pPr>
      <w:r>
        <w:rPr>
          <w:color w:val="555555"/>
          <w:sz w:val="26"/>
          <w:szCs w:val="26"/>
        </w:rPr>
        <w:t xml:space="preserve">Session fixes, current-data practices, and principles</w:t>
      </w:r>
    </w:p>
    <w:p>
      <w:pPr>
        <w:spacing w:after="40"/>
      </w:pPr>
      <w:r>
        <w:rPr>
          <w:color w:val="777777"/>
          <w:sz w:val="19"/>
          <w:szCs w:val="19"/>
        </w:rPr>
        <w:t xml:space="preserve">AREF Open Data Centre for Alberta Urban Real Estate — Property Assessment pipeline</w:t>
      </w:r>
    </w:p>
    <w:p>
      <w:pPr>
        <w:spacing w:after="200"/>
      </w:pPr>
      <w:r>
        <w:rPr>
          <w:color w:val="777777"/>
          <w:sz w:val="19"/>
          <w:szCs w:val="19"/>
        </w:rPr>
        <w:t xml:space="preserve">Author: Kaustubh Chati  ·  Date: 2026-06-22  ·  Status: code committed, publish pending review</w:t>
      </w:r>
    </w:p>
    <w:p>
      <w:pPr>
        <w:pStyle w:val="Heading1"/>
      </w:pPr>
      <w:r>
        <w:t xml:space="preserve">Purpose of this document</w:t>
      </w:r>
    </w:p>
    <w:p>
      <w:pPr>
        <w:spacing w:after="120"/>
      </w:pPr>
      <w:r>
        <w:t xml:space="preserve">This document records what the 2026-06-22 reconciliation session changed and, more importantly, the data-handling practices and principles the Data Centre now follows for neighbourhood identity. It is written so a future RA (or Olivia, reviewing) can understand </w:t>
      </w:r>
      <w:r>
        <w:rPr>
          <w:i/>
          <w:iCs/>
        </w:rPr>
        <w:t xml:space="preserve">why</w:t>
      </w:r>
      <w:r>
        <w:t xml:space="preserve"> the pipeline treats neighbourhood names and IDs the way it does, not merely what the code says. The single most important takeaway is in the box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9A2B" w:sz="12"/>
              <w:left w:val="single" w:color="C49A2B" w:sz="12"/>
              <w:bottom w:val="single" w:color="C49A2B" w:sz="12"/>
              <w:right w:val="single" w:color="C49A2B" w:sz="12"/>
            </w:tcBorders>
            <w:shd w:fill="FBF4DE" w:val="clear"/>
            <w:tcMar>
              <w:top w:type="dxa" w:w="140"/>
              <w:left w:type="dxa" w:w="180"/>
              <w:bottom w:type="dxa" w:w="140"/>
              <w:right w:type="dxa" w:w="180"/>
            </w:tcMar>
          </w:tcPr>
          <w:p>
            <w:pPr>
              <w:spacing w:after="60"/>
            </w:pPr>
            <w:r>
              <w:rPr>
                <w:b/>
                <w:bCs/>
                <w:color w:val="8A6D1B"/>
                <w:sz w:val="22"/>
                <w:szCs w:val="22"/>
              </w:rPr>
              <w:t xml:space="preserve">The headline principle</w:t>
            </w:r>
          </w:p>
          <w:p>
            <w:r>
              <w:rPr>
                <w:b/>
                <w:bCs/>
              </w:rPr>
              <w:t xml:space="preserve">Old neighbourhood identities are absorbed into their current ones and displayed as the current name everywhere. </w:t>
            </w:r>
            <w:r>
              <w:t xml:space="preserve">When the City renames or renumbers a neighbourhood, the Data Centre rewrites the old name/ID to the current one before any aggregation. A neighbourhood’s full history therefore renders under its present-day name. There is no dual labelling and no “formerly…” display. The 2024 policy-driven Oliver → Wîhkwêntôwin rename is the principal case this protects against.</w:t>
            </w:r>
          </w:p>
        </w:tc>
      </w:tr>
    </w:tbl>
    <w:p>
      <w:pPr>
        <w:spacing w:after="80"/>
      </w:pPr>
      <w:r>
        <w:t xml:space="preserve"/>
      </w:r>
    </w:p>
    <w:p>
      <w:pPr>
        <w:pStyle w:val="Heading1"/>
      </w:pPr>
      <w:r>
        <w:t xml:space="preserve">1. What the session changed</w:t>
      </w:r>
    </w:p>
    <w:p>
      <w:pPr>
        <w:spacing w:after="120"/>
      </w:pPr>
      <w:r>
        <w:t xml:space="preserve">The session consolidated all neighbourhood reconciliation logic into one place and made the routine pipeline leaner. Three commits landed (code-only; outputs regenerate on refresh):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Commit</w:t>
            </w:r>
          </w:p>
        </w:tc>
        <w:tc>
          <w:tcPr>
            <w:tcW w:type="dxa" w:w="4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What</w:t>
            </w:r>
          </w:p>
        </w:tc>
        <w:tc>
          <w:tcPr>
            <w:tcW w:type="dxa" w:w="34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Effect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Cleanup</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Removed dead and orphaned output artifacts proven to have no reader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Stopped publishing a dead geojson; reclaimed large stale historical copies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One-shot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Created a single dev-run reconciliation script that authors one versioned crosswalk</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All change history + policy provenance now lives in one documented place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Lean chain</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Routine pipeline now consumes the crosswalk by canonical ID; redundant join deleted; prune step added; publish-handoff gap closed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 join instead of two; no per-refresh disk leak; frontend CSVs no longer drift</w:t>
            </w:r>
          </w:p>
        </w:tc>
      </w:tr>
    </w:tbl>
    <w:p>
      <w:pPr>
        <w:spacing w:after="80"/>
      </w:pPr>
      <w:r>
        <w:t xml:space="preserve"/>
      </w:r>
    </w:p>
    <w:p>
      <w:pPr>
        <w:pStyle w:val="Heading2"/>
      </w:pPr>
      <w:r>
        <w:t xml:space="preserve">The problem it fixed</w:t>
      </w:r>
    </w:p>
    <w:p>
      <w:pPr>
        <w:spacing w:after="120"/>
      </w:pPr>
      <w:r>
        <w:t xml:space="preserve">Before this session, a neighbourhood that the City renamed or renumbered could lose its history. The clearest example: </w:t>
      </w:r>
      <w:r>
        <w:rPr>
          <w:b/>
          <w:bCs/>
        </w:rPr>
        <w:t xml:space="preserve">Oliver</w:t>
      </w:r>
      <w:r>
        <w:t xml:space="preserve"> carried more than a decade of prime downtown residential data, but after the 2025 rename the pipeline only recognised the new identity — the old “OLIVER” rows matched no current polygon and were silently dropped. The neighbourhood’s long-run statistics were distorted to only its post-rename values. The same failure mode affected every renamed, renumbered, or string-drifted neighbourhood, not just Oliver.</w:t>
      </w:r>
    </w:p>
    <w:p>
      <w:pPr>
        <w:pStyle w:val="Heading1"/>
      </w:pPr>
      <w:r>
        <w:t xml:space="preserve">2. The crosswalk: how identity is reconciled</w:t>
      </w:r>
    </w:p>
    <w:p>
      <w:pPr>
        <w:spacing w:after="120"/>
      </w:pPr>
      <w:r>
        <w:t xml:space="preserve">Reconciliation is now driven by a single versioned table — the crosswalk — authored only by the reconciliation one-shot. Every row says how a raw name/ID seen in source data maps to the current canonical identity,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Column</w:t>
            </w:r>
          </w:p>
        </w:tc>
        <w:tc>
          <w:tcPr>
            <w:tcW w:type="dxa" w:w="3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Meaning</w:t>
            </w:r>
          </w:p>
        </w:tc>
        <w:tc>
          <w:tcPr>
            <w:tcW w:type="dxa" w:w="3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Example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canonical_id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Current City ID (the survivor)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1151</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canonical_name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Current City name, shown everywhere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Wîhkwêntôwin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variant_id / variant_name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Old or raw value seen in data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1150 / OLIVER</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relation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Enumerated change type (no free text)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rename | renumber | typo | suffix_drift | alias | merge | container_exclude</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effective_start / effective_end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Date validity of the canonical identity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2025-01-01 / (open)</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source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Policy provenance for the change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Naming Committee 2024 Annual Report</w:t>
            </w:r>
          </w:p>
        </w:tc>
      </w:tr>
      <w:tr>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decided_by / date_curated / reviewed_by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Audit and human-review trail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KC / 2026-06-22 / Olivia</w:t>
            </w:r>
          </w:p>
        </w:tc>
      </w:tr>
    </w:tbl>
    <w:p>
      <w:pPr>
        <w:spacing w:after="80"/>
      </w:pPr>
      <w:r>
        <w:t xml:space="preserve"/>
      </w:r>
    </w:p>
    <w:p>
      <w:pPr>
        <w:pStyle w:val="Heading2"/>
      </w:pPr>
      <w:r>
        <w:t xml:space="preserve">The seven relation types</w:t>
      </w:r>
    </w:p>
    <w:p>
      <w:pPr>
        <w:pStyle w:val="ListParagraph"/>
        <w:numPr>
          <w:ilvl w:val="0"/>
          <w:numId w:val="2"/>
        </w:numPr>
        <w:spacing w:after="60"/>
      </w:pPr>
      <w:r>
        <w:rPr>
          <w:b/>
          <w:bCs/>
        </w:rPr>
        <w:t xml:space="preserve">rename</w:t>
      </w:r>
      <w:r>
        <w:t xml:space="preserve"> — a formal name change (Oliver → Wîhkwêntôwin). Old ID absorbed into new.</w:t>
      </w:r>
    </w:p>
    <w:p>
      <w:pPr>
        <w:pStyle w:val="ListParagraph"/>
        <w:numPr>
          <w:ilvl w:val="0"/>
          <w:numId w:val="2"/>
        </w:numPr>
        <w:spacing w:after="60"/>
      </w:pPr>
      <w:r>
        <w:rPr>
          <w:b/>
          <w:bCs/>
        </w:rPr>
        <w:t xml:space="preserve">renumber</w:t>
      </w:r>
      <w:r>
        <w:t xml:space="preserve"> — the ID changed (Chappelle 5462 → 5471; Heritage Valley 5464 → 5472).</w:t>
      </w:r>
    </w:p>
    <w:p>
      <w:pPr>
        <w:pStyle w:val="ListParagraph"/>
        <w:numPr>
          <w:ilvl w:val="0"/>
          <w:numId w:val="2"/>
        </w:numPr>
        <w:spacing w:after="60"/>
      </w:pPr>
      <w:r>
        <w:rPr>
          <w:b/>
          <w:bCs/>
        </w:rPr>
        <w:t xml:space="preserve">typo</w:t>
      </w:r>
      <w:r>
        <w:t xml:space="preserve"> — a misspelling in source data (Rapperswil → Rapperswill; Windemere → Windermere; Westbrook Estate → Estates).</w:t>
      </w:r>
    </w:p>
    <w:p>
      <w:pPr>
        <w:pStyle w:val="ListParagraph"/>
        <w:numPr>
          <w:ilvl w:val="0"/>
          <w:numId w:val="2"/>
        </w:numPr>
        <w:spacing w:after="60"/>
      </w:pPr>
      <w:r>
        <w:rPr>
          <w:b/>
          <w:bCs/>
        </w:rPr>
        <w:t xml:space="preserve">suffix_drift</w:t>
      </w:r>
      <w:r>
        <w:t xml:space="preserve"> — an added/removed descriptive word (“Chappelle Area” → “Chappelle”).</w:t>
      </w:r>
    </w:p>
    <w:p>
      <w:pPr>
        <w:pStyle w:val="ListParagraph"/>
        <w:numPr>
          <w:ilvl w:val="0"/>
          <w:numId w:val="2"/>
        </w:numPr>
        <w:spacing w:after="60"/>
      </w:pPr>
      <w:r>
        <w:rPr>
          <w:b/>
          <w:bCs/>
        </w:rPr>
        <w:t xml:space="preserve">alias</w:t>
      </w:r>
      <w:r>
        <w:t xml:space="preserve"> — a valid alternate spelling/spacing, not an error (“Anthony Henday Southeast” ↔ “South East”; “Southeast (Annexed) Industrial”).</w:t>
      </w:r>
    </w:p>
    <w:p>
      <w:pPr>
        <w:pStyle w:val="ListParagraph"/>
        <w:numPr>
          <w:ilvl w:val="0"/>
          <w:numId w:val="2"/>
        </w:numPr>
        <w:spacing w:after="60"/>
      </w:pPr>
      <w:r>
        <w:rPr>
          <w:b/>
          <w:bCs/>
        </w:rPr>
        <w:t xml:space="preserve">merge</w:t>
      </w:r>
      <w:r>
        <w:t xml:space="preserve"> — two source strings/IDs pooled into one canonical neighbourhood before aggregation.</w:t>
      </w:r>
    </w:p>
    <w:p>
      <w:pPr>
        <w:pStyle w:val="ListParagraph"/>
        <w:numPr>
          <w:ilvl w:val="0"/>
          <w:numId w:val="2"/>
        </w:numPr>
        <w:spacing w:after="60"/>
      </w:pPr>
      <w:r>
        <w:rPr>
          <w:b/>
          <w:bCs/>
        </w:rPr>
        <w:t xml:space="preserve">container_exclude</w:t>
      </w:r>
      <w:r>
        <w:t xml:space="preserve"> — umbrella/annexation containers that are not real neighbourhoods and must never render (IDs 8885–8888).</w:t>
      </w:r>
    </w:p>
    <w:p>
      <w:pPr>
        <w:spacing w:after="80"/>
      </w:pPr>
      <w:r>
        <w:t xml:space="preserve"/>
      </w:r>
    </w:p>
    <w:p>
      <w:pPr>
        <w:spacing w:after="120"/>
      </w:pPr>
      <w:r>
        <w:rPr>
          <w:b/>
          <w:bCs/>
        </w:rPr>
        <w:t xml:space="preserve">Why an enum and not free text: </w:t>
      </w:r>
      <w:r>
        <w:t xml:space="preserve">the previous reference tables flattened rename, typo, suffix, and merge into a single free-text “reason” field that was even internally inconsistent for the same neighbourhood across versions. The enum forces each change to be classified once, unambiguously, so the resolver and any human reviewer read the same fact.</w:t>
      </w:r>
    </w:p>
    <w:p>
      <w:r>
        <w:br w:type="page"/>
      </w:r>
    </w:p>
    <w:p>
      <w:pPr>
        <w:pStyle w:val="Heading1"/>
      </w:pPr>
      <w:r>
        <w:t xml:space="preserve">3. Current-data practices and principles</w:t>
      </w:r>
    </w:p>
    <w:p>
      <w:pPr>
        <w:spacing w:after="120"/>
      </w:pPr>
      <w:r>
        <w:t xml:space="preserve">These are the standing rules for how the Data Centre treats neighbourhood identity in current and historical data. They are deliberately conservative: the goal is a research dataset whose long-run series are continuous and whose every reconciliation decision is documented and reviewable.</w:t>
      </w:r>
    </w:p>
    <w:p>
      <w:pPr>
        <w:pStyle w:val="Heading2"/>
      </w:pPr>
      <w:r>
        <w:t xml:space="preserve">3.1 New identity wins; old is absorbed and shown as current</w:t>
      </w:r>
    </w:p>
    <w:p>
      <w:pPr>
        <w:pStyle w:val="ListParagraph"/>
        <w:numPr>
          <w:ilvl w:val="0"/>
          <w:numId w:val="2"/>
        </w:numPr>
        <w:spacing w:after="60"/>
      </w:pPr>
      <w:r>
        <w:t xml:space="preserve">On a rename or renumber, the canonical ID/name is always the present-day one. Old values are mapped forward, never shown.</w:t>
      </w:r>
    </w:p>
    <w:p>
      <w:pPr>
        <w:pStyle w:val="ListParagraph"/>
        <w:numPr>
          <w:ilvl w:val="0"/>
          <w:numId w:val="2"/>
        </w:numPr>
        <w:spacing w:after="60"/>
      </w:pPr>
      <w:r>
        <w:t xml:space="preserve">A neighbourhood’s entire time series renders under its current name, so trends are not broken at the change year.</w:t>
      </w:r>
    </w:p>
    <w:p>
      <w:pPr>
        <w:pStyle w:val="ListParagraph"/>
        <w:numPr>
          <w:ilvl w:val="0"/>
          <w:numId w:val="2"/>
        </w:numPr>
        <w:spacing w:after="60"/>
      </w:pPr>
      <w:r>
        <w:t xml:space="preserve">This is a display-Type-1, lineage-Type-2 model: the shown value is overwritten to current, but the crosswalk preserves the old→new record for audit.</w:t>
      </w:r>
    </w:p>
    <w:p>
      <w:pPr>
        <w:pStyle w:val="Heading2"/>
      </w:pPr>
      <w:r>
        <w:t xml:space="preserve">3.2 Resolution happens before aggregation</w:t>
      </w:r>
    </w:p>
    <w:p>
      <w:pPr>
        <w:pStyle w:val="ListParagraph"/>
        <w:numPr>
          <w:ilvl w:val="0"/>
          <w:numId w:val="2"/>
        </w:numPr>
        <w:spacing w:after="60"/>
      </w:pPr>
      <w:r>
        <w:t xml:space="preserve">Canonical IDs are stamped onto rows prior to the group-by. Aggregating first and renaming after would average already-averaged values across a merge — mathematically wrong. All grouping keys on canonical_id, never on the raw name.</w:t>
      </w:r>
    </w:p>
    <w:p>
      <w:pPr>
        <w:pStyle w:val="ListParagraph"/>
        <w:numPr>
          <w:ilvl w:val="0"/>
          <w:numId w:val="2"/>
        </w:numPr>
        <w:spacing w:after="60"/>
      </w:pPr>
      <w:r>
        <w:t xml:space="preserve">Year is always preserved as a grouping dimension: counts are grouped by (year, canonical_id), so absorbing an old identity never collapses one year’s rows into another.</w:t>
      </w:r>
    </w:p>
    <w:p>
      <w:pPr>
        <w:pStyle w:val="Heading2"/>
      </w:pPr>
      <w:r>
        <w:t xml:space="preserve">3.3 Containers and non-residential land are excluded, not rendered grey</w:t>
      </w:r>
    </w:p>
    <w:p>
      <w:pPr>
        <w:pStyle w:val="ListParagraph"/>
        <w:numPr>
          <w:ilvl w:val="0"/>
          <w:numId w:val="2"/>
        </w:numPr>
        <w:spacing w:after="60"/>
      </w:pPr>
      <w:r>
        <w:t xml:space="preserve">Annexation umbrella rows (8885–8888) are dropped before classification, not left to render as empty grey polygons.</w:t>
      </w:r>
    </w:p>
    <w:p>
      <w:pPr>
        <w:pStyle w:val="ListParagraph"/>
        <w:numPr>
          <w:ilvl w:val="0"/>
          <w:numId w:val="2"/>
        </w:numPr>
        <w:spacing w:after="60"/>
      </w:pPr>
      <w:r>
        <w:t xml:space="preserve">Genuinely non-residential neighbourhoods (e.g. the Lewis Farms industrial/business-employment split) carry no residential rows past the cleaning rules and are correctly absent from the residential choropleth by design.</w:t>
      </w:r>
    </w:p>
    <w:p>
      <w:pPr>
        <w:pStyle w:val="Heading2"/>
      </w:pPr>
      <w:r>
        <w:t xml:space="preserve">3.4 Failure must be loud, never silent</w:t>
      </w:r>
    </w:p>
    <w:p>
      <w:pPr>
        <w:pStyle w:val="ListParagraph"/>
        <w:numPr>
          <w:ilvl w:val="0"/>
          <w:numId w:val="2"/>
        </w:numPr>
        <w:spacing w:after="60"/>
      </w:pPr>
      <w:r>
        <w:t xml:space="preserve">A research dataset’s dangerous direction is a row that disappears, not one that collides. The reconciliation work closed the silent-drop path: an unresolved identity now surfaces rather than vanishing.</w:t>
      </w:r>
    </w:p>
    <w:p>
      <w:pPr>
        <w:pStyle w:val="ListParagraph"/>
        <w:numPr>
          <w:ilvl w:val="0"/>
          <w:numId w:val="2"/>
        </w:numPr>
        <w:spacing w:after="60"/>
      </w:pPr>
      <w:r>
        <w:t xml:space="preserve">Coverage is tracked per year so that a drop in rendered neighbourhoods signals a real reconciliation miss rather than passing unnoticed.</w:t>
      </w:r>
    </w:p>
    <w:p>
      <w:pPr>
        <w:pStyle w:val="Heading2"/>
      </w:pPr>
      <w:r>
        <w:t xml:space="preserve">3.5 The 2024 data is an outlier — treat it as such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5651D" w:sz="12"/>
              <w:left w:val="single" w:color="B5651D" w:sz="12"/>
              <w:bottom w:val="single" w:color="B5651D" w:sz="12"/>
              <w:right w:val="single" w:color="B5651D" w:sz="12"/>
            </w:tcBorders>
            <w:shd w:fill="FBEDE2" w:val="clear"/>
            <w:tcMar>
              <w:top w:type="dxa" w:w="140"/>
              <w:left w:type="dxa" w:w="180"/>
              <w:bottom w:type="dxa" w:w="140"/>
              <w:right w:type="dxa" w:w="180"/>
            </w:tcMar>
          </w:tcPr>
          <w:p>
            <w:pPr>
              <w:spacing w:after="60"/>
            </w:pPr>
            <w:r>
              <w:rPr>
                <w:b/>
                <w:bCs/>
                <w:color w:val="8A4B12"/>
                <w:sz w:val="22"/>
                <w:szCs w:val="22"/>
              </w:rPr>
              <w:t xml:space="preserve">Why 2024 does not behave like the other years</w:t>
            </w:r>
          </w:p>
          <w:p>
            <w:r>
              <w:t xml:space="preserve">The Oliver → Wîhkwêntôwin rename took legal effect on </w:t>
            </w:r>
            <w:r>
              <w:rPr>
                <w:b/>
                <w:bCs/>
              </w:rPr>
              <w:t xml:space="preserve">1 January 2025</w:t>
            </w:r>
            <w:r>
              <w:t xml:space="preserve">, but the City’s operational systems changed earlier and at different times: Edmonton Transit updated maps and signage on </w:t>
            </w:r>
            <w:r>
              <w:rPr>
                <w:b/>
                <w:bCs/>
              </w:rPr>
              <w:t xml:space="preserve">1 September 2024</w:t>
            </w:r>
            <w:r>
              <w:t xml:space="preserve">, and the City’s internal systems and maps were officially updated on </w:t>
            </w:r>
            <w:r>
              <w:rPr>
                <w:b/>
                <w:bCs/>
              </w:rPr>
              <w:t xml:space="preserve">30 October 2024</w:t>
            </w:r>
            <w:r>
              <w:t xml:space="preserve">. A data snapshot taken during this window can carry either the old or the new identity depending on the source system’s update timing.</w:t>
            </w:r>
          </w:p>
        </w:tc>
      </w:tr>
    </w:tbl>
    <w:p>
      <w:pPr>
        <w:spacing w:after="80"/>
      </w:pPr>
      <w:r>
        <w:t xml:space="preserve"/>
      </w:r>
    </w:p>
    <w:p>
      <w:pPr>
        <w:spacing w:after="120"/>
      </w:pPr>
      <w:r>
        <w:t xml:space="preserve">Two distinct consequences follow, and both make 2024 an outlier that should be read with care:</w:t>
      </w:r>
    </w:p>
    <w:p>
      <w:pPr>
        <w:pStyle w:val="ListParagraph"/>
        <w:numPr>
          <w:ilvl w:val="0"/>
          <w:numId w:val="3"/>
        </w:numPr>
        <w:spacing w:after="60"/>
      </w:pPr>
      <w:r>
        <w:rPr>
          <w:b/>
          <w:bCs/>
        </w:rPr>
        <w:t xml:space="preserve">A transition-window identity ambiguity. </w:t>
      </w:r>
      <w:r>
        <w:t xml:space="preserve">Across roughly September–2024 to January–2025, “Oliver” and “Wîhkwêntôwin” coexist across different City products. The crosswalk’s effective-date fields exist precisely so the resolver maps both to the single canonical identity regardless of which name a 2024-vintage snapshot used. The output is always the current name, but the underlying source for that year is genuinely mixed.</w:t>
      </w:r>
    </w:p>
    <w:p>
      <w:pPr>
        <w:pStyle w:val="ListParagraph"/>
        <w:numPr>
          <w:ilvl w:val="0"/>
          <w:numId w:val="3"/>
        </w:numPr>
        <w:spacing w:after="60"/>
      </w:pPr>
      <w:r>
        <w:rPr>
          <w:b/>
          <w:bCs/>
        </w:rPr>
        <w:t xml:space="preserve">A statistical suppression artefact, not a data loss. </w:t>
      </w:r>
      <w:r>
        <w:t xml:space="preserve">For Wîhkwêntôwin specifically, the 2024 aggregate falls below the Data Centre’s minimum-count threshold (N ≥ 100) and is therefore suppressed. This is the suppression gate working as designed, not a reconciliation failure. A direct consequence is that the 2024→2025 year-over-year change for this neighbourhood cannot be computed (one of the two years is suppressed). The year-over-year mechanism is correct — the value simply does not exist for that pair.</w:t>
      </w:r>
    </w:p>
    <w:p>
      <w:pPr>
        <w:spacing w:after="80"/>
      </w:pPr>
      <w:r>
        <w:t xml:space="preserve"/>
      </w:r>
    </w:p>
    <w:p>
      <w:pPr>
        <w:spacing w:after="120"/>
      </w:pPr>
      <w:r>
        <w:rPr>
          <w:b/>
          <w:bCs/>
        </w:rPr>
        <w:t xml:space="preserve">Practical guidance: </w:t>
      </w:r>
      <w:r>
        <w:t xml:space="preserve">when reading Wîhkwêntôwin’s series, or any neighbourhood touched by a 2024-era policy change, treat 2024 as a transition year. Expect a possible suppressed value and an absent year-over-year figure at the change boundary. These are expected and documented, not errors. The public-facing footnote (Section 5) states this to end users.</w:t>
      </w:r>
    </w:p>
    <w:p>
      <w:pPr>
        <w:pStyle w:val="Heading2"/>
      </w:pPr>
      <w:r>
        <w:t xml:space="preserve">3.6 The one-shot is the documented home for change history</w:t>
      </w:r>
    </w:p>
    <w:p>
      <w:pPr>
        <w:pStyle w:val="ListParagraph"/>
        <w:numPr>
          <w:ilvl w:val="0"/>
          <w:numId w:val="2"/>
        </w:numPr>
        <w:spacing w:after="60"/>
      </w:pPr>
      <w:r>
        <w:t xml:space="preserve">The reconciliation one-shot is run by a developer only when the City announces a change, not on every refresh. It is the permanent record of every catalogued change with its policy citation.</w:t>
      </w:r>
    </w:p>
    <w:p>
      <w:pPr>
        <w:pStyle w:val="ListParagraph"/>
        <w:numPr>
          <w:ilvl w:val="0"/>
          <w:numId w:val="2"/>
        </w:numPr>
        <w:spacing w:after="60"/>
      </w:pPr>
      <w:r>
        <w:t xml:space="preserve">It references the source documents (the City’s Naming Committee annual reports, effective dates, and the operational-vs-effective date gaps) so the provenance of every crosswalk row is traceable to a regulatory action.</w:t>
      </w:r>
    </w:p>
    <w:p>
      <w:pPr>
        <w:pStyle w:val="ListParagraph"/>
        <w:numPr>
          <w:ilvl w:val="0"/>
          <w:numId w:val="2"/>
        </w:numPr>
        <w:spacing w:after="60"/>
      </w:pPr>
      <w:r>
        <w:t xml:space="preserve">The routine refresh only consumes the locked crosswalk — it never re-derives reconciliation, so quarterly refreshes are cheap and deterministic.</w:t>
      </w:r>
    </w:p>
    <w:p>
      <w:pPr>
        <w:pStyle w:val="Heading1"/>
      </w:pPr>
      <w:r>
        <w:t xml:space="preserve">4. Catalogued changes (current registry)</w:t>
      </w:r>
    </w:p>
    <w:p>
      <w:pPr>
        <w:spacing w:after="120"/>
      </w:pPr>
      <w:r>
        <w:t xml:space="preserve">The changes the crosswalk currently encodes. New rows are added by the one-shot when the City announces further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100"/>
        <w:gridCol w:w="3560"/>
      </w:tblGrid>
      <w:tr>
        <w:trPr>
          <w:tblHeader/>
        </w:trP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Neighbourhood</w:t>
            </w:r>
          </w:p>
        </w:tc>
        <w:tc>
          <w:tcPr>
            <w:tcW w:type="dxa" w:w="15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Relation</w:t>
            </w:r>
          </w:p>
        </w:tc>
        <w:tc>
          <w:tcPr>
            <w:tcW w:type="dxa" w:w="21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ID change</w:t>
            </w:r>
          </w:p>
        </w:tc>
        <w:tc>
          <w:tcPr>
            <w:tcW w:type="dxa" w:w="3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tcPr>
          <w:p>
            <w:r>
              <w:rPr>
                <w:b/>
                <w:bCs/>
                <w:color w:val="FFFFFF"/>
                <w:sz w:val="19"/>
                <w:szCs w:val="19"/>
              </w:rPr>
              <w:t xml:space="preserve">Note / provenance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9"/>
                <w:szCs w:val="19"/>
              </w:rPr>
              <w:t xml:space="preserve">Oliver → Wîhkwêntôwin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rename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1150 → 1151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Council approved 2024-02-21; effective 2025-01-01. The 2024 outlier (Section 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Chappelle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renumber + suffix_drift</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5462 → 5471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ID change plus “Chappelle Area” → “Chappelle” string drift, recorded separately.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Heritage Valley Town Centre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renumber + merge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5464 → 5472</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ID change plus “… Area” variant merged pre-aggregation.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Rapperswill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typo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Source-side misspelling “Rapperswil”.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River Valley Windermere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typo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Source-side misspelling “Windemere”.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Westbrook Estates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typo</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Source-side “Westbrook Estate”.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Anthony Henday South East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alias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Spacing variant “Southeast” — valid alternate, not an error.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Southeast Industrial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alias</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“Southeast (Annexed) Industrial” variant.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Edmonton South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container_exclude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8885–8888</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Annexation umbrella containers — never rendered.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Lewis Farms Industrial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(under review)</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4485 → 4260/4261</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2026-01-15 boundary split into two non-residential neighbourhoods; carries no residential data. Pending KC ruling on registry treatment.</w:t>
            </w:r>
          </w:p>
        </w:tc>
      </w:tr>
    </w:tbl>
    <w:p>
      <w:pPr>
        <w:spacing w:after="80"/>
      </w:pPr>
      <w:r>
        <w:t xml:space="preserve"/>
      </w:r>
    </w:p>
    <w:p>
      <w:r>
        <w:br w:type="page"/>
      </w:r>
    </w:p>
    <w:p>
      <w:pPr>
        <w:pStyle w:val="Heading1"/>
      </w:pPr>
      <w:r>
        <w:t xml:space="preserve">5. Frontend directive: public data-gap footnote</w:t>
      </w:r>
    </w:p>
    <w:p>
      <w:pPr>
        <w:spacing w:after="120"/>
      </w:pPr>
      <w:r>
        <w:t xml:space="preserve">A small, separate frontend task. End users seeing a neighbourhood’s history shift to its new name — or a suppressed/absent 2024 value — need a plain-language explanation and a link to the regulatory source. This is investigate-then-implement scope for a focused Claude Code session; the directive below is ready to hand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6F8" w:val="clear"/>
            <w:tcMar>
              <w:top w:type="dxa" w:w="140"/>
              <w:left w:type="dxa" w:w="180"/>
              <w:bottom w:type="dxa" w:w="140"/>
              <w:right w:type="dxa" w:w="180"/>
            </w:tcMar>
          </w:tcPr>
          <w:p>
            <w:pPr>
              <w:spacing w:after="80"/>
            </w:pPr>
            <w:r>
              <w:rPr>
                <w:b/>
                <w:bCs/>
                <w:color w:val="1F4E5F"/>
                <w:sz w:val="21"/>
                <w:szCs w:val="21"/>
              </w:rPr>
              <w:t xml:space="preserve">CC DIRECTIVE — Neighbourhood data-gap footnote (frontend)</w:t>
            </w:r>
          </w:p>
          <w:p>
            <w:pPr>
              <w:spacing w:after="60"/>
            </w:pPr>
            <w:r>
              <w:rPr>
                <w:b/>
                <w:bCs/>
              </w:rPr>
              <w:t xml:space="preserve">Scope. </w:t>
            </w:r>
            <w:r>
              <w:t xml:space="preserve">Add one explicit, unobtrusive footnote/annotation explaining neighbourhood-identity changes and the 2024 transition, with a citation link. Do not change map logic, colour scales, or the crosswalk.</w:t>
            </w:r>
          </w:p>
          <w:p>
            <w:pPr>
              <w:spacing w:after="60"/>
            </w:pPr>
            <w:r>
              <w:rPr>
                <w:b/>
                <w:bCs/>
              </w:rPr>
              <w:t xml:space="preserve">Placement. </w:t>
            </w:r>
            <w:r>
              <w:t xml:space="preserve">Find the most appropriate single location — candidates: the Property Assessment map’s legend/info panel, a popup note when a reconciled neighbourhood is selected, or a footnotes section on the page. Propose the placement, then implement the chosen one. Prefer a persistent, discoverable note over a transient tooltip.</w:t>
            </w:r>
          </w:p>
          <w:p>
            <w:pPr>
              <w:spacing w:after="60"/>
            </w:pPr>
            <w:r>
              <w:rPr>
                <w:b/>
                <w:bCs/>
              </w:rPr>
              <w:t xml:space="preserve">Copy (use or lightly adapt). </w:t>
            </w:r>
          </w:p>
          <w:p>
            <w:pPr>
              <w:spacing w:after="80"/>
              <w:ind w:left="240"/>
            </w:pPr>
            <w:r>
              <w:rPr>
                <w:i/>
                <w:iCs/>
              </w:rPr>
              <w:t xml:space="preserve">“Some neighbourhoods have been renamed or renumbered by the City of Edmonton. Their full history is shown under the current name. For example, Oliver was renamed Wîhkwêntôwin, effective 1 January 2025; values before this date are shown under Wîhkwêntôwin. Figures around the 2024 transition may be limited or suppressed where data is below reporting thresholds.”</w:t>
            </w:r>
          </w:p>
          <w:p>
            <w:pPr>
              <w:spacing w:after="60"/>
            </w:pPr>
            <w:r>
              <w:rPr>
                <w:b/>
                <w:bCs/>
              </w:rPr>
              <w:t xml:space="preserve">Citation link. </w:t>
            </w:r>
            <w:r>
              <w:t xml:space="preserve">Link to the City’s authoritative source for the rename. Use the City’s Naming Committee page or the official news release. Confirm the live URL before committing; do not hardcode a dead link.</w:t>
            </w:r>
          </w:p>
          <w:p>
            <w:pPr>
              <w:spacing w:after="40"/>
              <w:ind w:left="240"/>
            </w:pPr>
            <w:r>
              <w:rPr>
                <w:b/>
                <w:bCs/>
              </w:rPr>
              <w:t xml:space="preserve">Primary: </w:t>
            </w:r>
            <w:hyperlink w:history="1" r:id="rIdlf9ap7rlfavefppmmgosb">
              <w:r>
                <w:rPr>
                  <w:rStyle w:val="Hyperlink"/>
                  <w:color w:val="1155CC"/>
                  <w:u w:val="single"/>
                </w:rPr>
                <w:t xml:space="preserve">edmonton.ca → Naming Committee</w:t>
              </w:r>
            </w:hyperlink>
          </w:p>
          <w:p>
            <w:pPr>
              <w:spacing w:after="80"/>
              <w:ind w:left="240"/>
            </w:pPr>
            <w:r>
              <w:rPr>
                <w:b/>
                <w:bCs/>
              </w:rPr>
              <w:t xml:space="preserve">Provenance (for the page’s sources, optional): </w:t>
            </w:r>
            <w:r>
              <w:t xml:space="preserve">City of Edmonton Naming Committee 2024 Annual Report (Council, 10 March 2025).</w:t>
            </w:r>
          </w:p>
          <w:p>
            <w:pPr>
              <w:spacing w:after="40"/>
            </w:pPr>
            <w:r>
              <w:rPr>
                <w:b/>
                <w:bCs/>
              </w:rPr>
              <w:t xml:space="preserve">STOP conditions. </w:t>
            </w:r>
            <w:r>
              <w:t xml:space="preserve">Implement only the footnote + link. Do not alter data, crosswalk, map paint, or popups beyond adding the note. Verify the citation URL resolves. Report the chosen placement and a screenshot before push.</w:t>
            </w:r>
          </w:p>
        </w:tc>
      </w:tr>
    </w:tbl>
    <w:p>
      <w:pPr>
        <w:spacing w:after="80"/>
      </w:pPr>
      <w:r>
        <w:t xml:space="preserve"/>
      </w:r>
    </w:p>
    <w:p>
      <w:pPr>
        <w:pStyle w:val="Heading1"/>
      </w:pPr>
      <w:r>
        <w:t xml:space="preserve">6. State at session end</w:t>
      </w:r>
    </w:p>
    <w:p>
      <w:pPr>
        <w:pStyle w:val="ListParagraph"/>
        <w:numPr>
          <w:ilvl w:val="0"/>
          <w:numId w:val="2"/>
        </w:numPr>
        <w:spacing w:after="60"/>
      </w:pPr>
      <w:r>
        <w:t xml:space="preserve">Three commits landed locally (cleanup, one-shot + crosswalk, lean chain). Nothing pushed.</w:t>
      </w:r>
    </w:p>
    <w:p>
      <w:pPr>
        <w:pStyle w:val="ListParagraph"/>
        <w:numPr>
          <w:ilvl w:val="0"/>
          <w:numId w:val="2"/>
        </w:numPr>
        <w:spacing w:after="60"/>
      </w:pPr>
      <w:r>
        <w:t xml:space="preserve">The new reconciliation code is verified correct against existing snapshots; the live site still shows old published data until the next refresh publishes the corrected outputs.</w:t>
      </w:r>
    </w:p>
    <w:p>
      <w:pPr>
        <w:pStyle w:val="ListParagraph"/>
        <w:numPr>
          <w:ilvl w:val="0"/>
          <w:numId w:val="2"/>
        </w:numPr>
        <w:spacing w:after="60"/>
      </w:pPr>
      <w:r>
        <w:t xml:space="preserve">Next operator step: run the section refresh (fresh 2026 fetch + reconciliation publish), review locally, pass the Olivia review gate, then commit and push.</w:t>
      </w:r>
    </w:p>
    <w:p>
      <w:pPr>
        <w:pStyle w:val="ListParagraph"/>
        <w:numPr>
          <w:ilvl w:val="0"/>
          <w:numId w:val="2"/>
        </w:numPr>
        <w:spacing w:after="60"/>
      </w:pPr>
      <w:r>
        <w:t xml:space="preserve">Two small follow-ups pending: a gitignore recursion fix for the per-year aggregates, and a header pointer on the retired one-shot. Separate commit.</w:t>
      </w:r>
    </w:p>
    <w:p>
      <w:pPr>
        <w:pStyle w:val="ListParagraph"/>
        <w:numPr>
          <w:ilvl w:val="0"/>
          <w:numId w:val="2"/>
        </w:numPr>
        <w:spacing w:after="60"/>
      </w:pPr>
      <w:r>
        <w:t xml:space="preserve">This frontend footnote directive (Section 5) is an independent task that can ship with or after the refresh.</w:t>
      </w:r>
    </w:p>
    <w:p>
      <w:pPr>
        <w:spacing w:after="80"/>
      </w:pPr>
      <w:r>
        <w:t xml:space="preserve"/>
      </w:r>
    </w:p>
    <w:p>
      <w:pPr>
        <w:spacing w:after="120"/>
      </w:pPr>
      <w:r>
        <w:rPr>
          <w:i/>
          <w:iCs/>
          <w:color w:val="777777"/>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Session fixes &amp; current-data practices — 2026-06-22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AREF Open Data Centre — Neighbourhood Reconciliation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rial" w:cs="Arial" w:eastAsia="Arial" w:hAnsi="Arial"/>
      <w:b/>
      <w:bCs/>
      <w:color w:val="1F4E5F"/>
      <w:sz w:val="40"/>
      <w:szCs w:val="40"/>
    </w:rPr>
  </w:style>
  <w:style w:type="paragraph" w:styleId="Heading1">
    <w:name w:val="Heading 1"/>
    <w:basedOn w:val="Normal"/>
    <w:next w:val="Normal"/>
    <w:qFormat/>
    <w:pPr>
      <w:pBdr>
        <w:bottom w:val="single" w:color="1F4E5F" w:sz="6" w:space="2"/>
      </w:pBdr>
      <w:spacing w:after="160" w:before="300"/>
      <w:outlineLvl w:val="0"/>
    </w:pPr>
    <w:rPr>
      <w:rFonts w:ascii="Arial" w:cs="Arial" w:eastAsia="Arial" w:hAnsi="Arial"/>
      <w:b/>
      <w:bCs/>
      <w:color w:val="1F4E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6E80"/>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f9ap7rlfavefppmmgosb" Type="http://schemas.openxmlformats.org/officeDocument/2006/relationships/hyperlink" Target="https://www.edmonton.ca/city_government/city_organization/naming-committee"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2026-06-22T17:31:45.866Z</dcterms:created>
  <dcterms:modified xsi:type="dcterms:W3CDTF">2026-06-22T17:31:45.867Z</dcterms:modified>
</cp:coreProperties>
</file>

<file path=docProps/custom.xml><?xml version="1.0" encoding="utf-8"?>
<Properties xmlns="http://schemas.openxmlformats.org/officeDocument/2006/custom-properties" xmlns:vt="http://schemas.openxmlformats.org/officeDocument/2006/docPropsVTypes"/>
</file>