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5th September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Kaustubh: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Studying K8 (8 Fastest Algorithms)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ways to apply Neural Networks to Power Systems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Latest and the best way previously Neural Networks were applied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Simulate one learning algorithm using SCADA, MATLAB, Visual Studio.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Ashwin: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Implementing one particular converter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Interfacing the converter with the control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Interfacing the converter structure with communication channel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Address the current problems in converters and tackle them in the implemented scheme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Ahan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Identifying best possible communication protocol.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Performing Data Acquisition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Exploring cooperation between multi-agents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Mohit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Applying various control strategies in inverter control.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Droop controllers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Applying game theory in microgrids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