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9EFDC6">
      <w:pPr>
        <w:jc w:val="center"/>
        <w:rPr>
          <w:rFonts w:asciiTheme="majorHAnsi" w:hAnsiTheme="majorHAnsi" w:cstheme="majorHAnsi"/>
          <w:kern w:val="2"/>
          <w:sz w:val="20"/>
          <w:szCs w:val="20"/>
          <w:lang w:val="en-IN" w:eastAsia="en-IN"/>
          <w14:ligatures w14:val="standardContextual"/>
        </w:rPr>
      </w:pPr>
      <w:r>
        <w:rPr>
          <w:rFonts w:asciiTheme="majorHAnsi" w:hAnsiTheme="majorHAnsi" w:cstheme="majorHAnsi"/>
          <w:b/>
          <w:bCs/>
          <w:color w:val="17365D"/>
          <w:sz w:val="20"/>
          <w:szCs w:val="20"/>
        </w:rPr>
        <w:br w:type="textWrapping"/>
      </w:r>
      <w:r>
        <w:rPr>
          <w:rFonts w:asciiTheme="majorHAnsi" w:hAnsiTheme="majorHAnsi" w:cstheme="majorHAnsi"/>
          <w:b/>
          <w:bCs/>
          <w:color w:val="17365D"/>
          <w:sz w:val="20"/>
          <w:szCs w:val="20"/>
        </w:rPr>
        <w:t xml:space="preserve">Weekly OEE Report</w:t>
      </w:r>
      <w:r>
        <w:rPr>
          <w:rFonts w:asciiTheme="majorHAnsi" w:hAnsiTheme="majorHAnsi" w:cstheme="majorHAnsi"/>
          <w:b/>
          <w:bCs/>
          <w:color w:val="595959"/>
          <w:sz w:val="20"/>
          <w:szCs w:val="20"/>
        </w:rPr>
        <w:br w:type="textWrapping"/>
      </w:r>
      <w:r>
        <w:rPr>
          <w:rFonts w:asciiTheme="majorHAnsi" w:hAnsiTheme="majorHAnsi" w:cstheme="majorHAnsi"/>
          <w:color w:val="646464"/>
          <w:sz w:val="20"/>
          <w:szCs w:val="20"/>
        </w:rPr>
        <w:t xml:space="preserve">Weekly executive summary with quantified insights, loss drivers and action priorities</w:t>
      </w:r>
      <w:r>
        <w:rPr>
          <w:rFonts w:asciiTheme="majorHAnsi" w:hAnsiTheme="majorHAnsi" w:cstheme="majorHAnsi"/>
          <w:color w:val="646464"/>
          <w:sz w:val="20"/>
          <w:szCs w:val="20"/>
        </w:rPr>
        <w:br w:type="textWrapping"/>
      </w:r>
      <w:r>
        <w:rPr>
          <w:rFonts w:asciiTheme="majorHAnsi" w:hAnsiTheme="majorHAnsi" w:cstheme="majorHAnsi"/>
          <w:b/>
          <w:bCs/>
          <w:color w:val="17365D"/>
          <w:sz w:val="20"/>
          <w:szCs w:val="20"/>
        </w:rPr>
        <w:t xml:space="preserve">Report Week: Week 10</w:t>
      </w:r>
      <w:r>
        <w:br w:type="textWrapping"/>
      </w:r>
      <w:r>
        <w:rPr>
          <w:b/>
          <w:color w:val="17365D"/>
          <w:sz w:val="20"/>
        </w:rPr>
        <w:t xml:space="preserve">Start Date: 2nd March 2026     End Date: 9th March 2026</w:t>
      </w:r>
    </w:p>
    <w:p w14:paraId="69AFF032">
      <w:pPr>
        <w:jc w:val="center"/>
        <w:rPr>
          <w:rFonts w:asciiTheme="majorHAnsi" w:hAnsiTheme="majorHAnsi" w:cstheme="majorHAnsi"/>
          <w:kern w:val="2"/>
          <w:sz w:val="20"/>
          <w:szCs w:val="20"/>
          <w:lang w:val="en-IN" w:eastAsia="en-IN"/>
          <w14:ligatures w14:val="standardContextual"/>
        </w:rPr>
      </w:pPr>
    </w:p>
    <w:p w14:paraId="197EE0C4">
      <w:pPr>
        <w:jc w:val="center"/>
        <w:rPr>
          <w:rFonts w:asciiTheme="majorHAnsi" w:hAnsiTheme="majorHAnsi" w:cstheme="majorHAnsi"/>
          <w:kern w:val="2"/>
          <w:sz w:val="20"/>
          <w:szCs w:val="20"/>
          <w:lang w:val="en-IN" w:eastAsia="en-IN"/>
          <w14:ligatures w14:val="standardContextual"/>
        </w:rPr>
      </w:pPr>
      <w:r>
        <w:rPr>
          <w:rFonts w:asciiTheme="majorHAnsi" w:hAnsiTheme="majorHAnsi" w:cstheme="majorHAnsi"/>
          <w:sz w:val="20"/>
          <w:szCs w:val="20"/>
        </w:rPr>
        <w:drawing>
          <wp:inline distT="0" distB="0" distL="0" distR="0">
            <wp:extent cx="5621020" cy="3748405"/>
            <wp:effectExtent l="0" t="0" r="0" b="4445"/>
            <wp:docPr id="1421391283" name="Picture 1421391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91283" name="Picture 142139128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642180" cy="3762433"/>
                    </a:xfrm>
                    <a:prstGeom prst="rect">
                      <a:avLst/>
                    </a:prstGeom>
                    <a:noFill/>
                    <a:ln>
                      <a:noFill/>
                    </a:ln>
                  </pic:spPr>
                </pic:pic>
              </a:graphicData>
            </a:graphic>
          </wp:inline>
        </w:drawing>
      </w:r>
    </w:p>
    <w:p w14:paraId="0510A2CA">
      <w:pPr>
        <w:rPr>
          <w:rFonts w:asciiTheme="majorHAnsi" w:hAnsiTheme="majorHAnsi" w:cstheme="majorHAnsi"/>
          <w:kern w:val="2"/>
          <w:sz w:val="20"/>
          <w:szCs w:val="20"/>
          <w:lang w:val="en-IN" w:eastAsia="en-IN"/>
          <w14:ligatures w14:val="standardContextual"/>
        </w:rPr>
      </w:pPr>
    </w:p>
    <w:p w14:paraId="1C92C9D3">
      <w:pPr>
        <w:spacing w:before="120" w:after="60"/>
        <w:rPr>
          <w:rFonts w:asciiTheme="majorHAnsi" w:hAnsiTheme="majorHAnsi" w:cstheme="majorHAnsi"/>
          <w:b/>
          <w:bCs/>
          <w:color w:val="17365D"/>
          <w:sz w:val="32"/>
          <w:szCs w:val="32"/>
        </w:rPr>
      </w:pPr>
      <w:r>
        <w:rPr>
          <w:rFonts w:asciiTheme="majorHAnsi" w:hAnsiTheme="majorHAnsi" w:cstheme="majorHAnsi"/>
          <w:b/>
          <w:bCs/>
          <w:color w:val="17365D"/>
          <w:sz w:val="32"/>
          <w:szCs w:val="32"/>
        </w:rPr>
        <w:t>Contents</w:t>
      </w:r>
    </w:p>
    <w:p w14:paraId="46556A03">
      <w:pPr>
        <w:spacing w:before="120" w:after="60"/>
        <w:rPr>
          <w:rFonts w:asciiTheme="majorHAnsi" w:hAnsiTheme="majorHAnsi" w:cstheme="majorHAnsi"/>
          <w:kern w:val="2"/>
          <w:sz w:val="20"/>
          <w:szCs w:val="20"/>
          <w:lang w:val="en-IN" w:eastAsia="en-IN"/>
          <w14:ligatures w14:val="standardContextual"/>
        </w:rPr>
      </w:pPr>
    </w:p>
    <w:tbl>
      <w:tblPr>
        <w:tblStyle w:val="35"/>
        <w:tblW w:w="0" w:type="auto"/>
        <w:tblInd w:w="13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275"/>
        <w:gridCol w:w="4669"/>
        <w:gridCol w:w="1134"/>
      </w:tblGrid>
      <w:tr w14:paraId="7502B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75" w:type="dxa"/>
            <w:shd w:val="clear" w:color="auto" w:fill="17365D"/>
            <w:tcMar>
              <w:top w:w="0" w:type="dxa"/>
              <w:left w:w="108" w:type="dxa"/>
              <w:bottom w:w="0" w:type="dxa"/>
              <w:right w:w="108" w:type="dxa"/>
            </w:tcMar>
            <w:vAlign w:val="center"/>
          </w:tcPr>
          <w:p w14:paraId="55D0BE12">
            <w:pPr>
              <w:spacing w:after="0" w:line="240" w:lineRule="auto"/>
              <w:jc w:val="center"/>
              <w:rPr>
                <w:rFonts w:asciiTheme="majorHAnsi" w:hAnsiTheme="majorHAnsi" w:cstheme="majorHAnsi"/>
                <w:kern w:val="2"/>
                <w:sz w:val="20"/>
                <w:szCs w:val="20"/>
                <w:lang w:val="en-IN" w:eastAsia="en-IN"/>
                <w14:ligatures w14:val="standardContextual"/>
              </w:rPr>
            </w:pPr>
            <w:r>
              <w:rPr>
                <w:rFonts w:asciiTheme="majorHAnsi" w:hAnsiTheme="majorHAnsi" w:cstheme="majorHAnsi"/>
                <w:b/>
                <w:bCs/>
                <w:color w:val="FFFFFF"/>
                <w:sz w:val="20"/>
                <w:szCs w:val="20"/>
              </w:rPr>
              <w:t>Section</w:t>
            </w:r>
          </w:p>
        </w:tc>
        <w:tc>
          <w:tcPr>
            <w:tcW w:w="4669" w:type="dxa"/>
            <w:shd w:val="clear" w:color="auto" w:fill="17365D"/>
            <w:tcMar>
              <w:top w:w="0" w:type="dxa"/>
              <w:left w:w="108" w:type="dxa"/>
              <w:bottom w:w="0" w:type="dxa"/>
              <w:right w:w="108" w:type="dxa"/>
            </w:tcMar>
            <w:vAlign w:val="center"/>
          </w:tcPr>
          <w:p w14:paraId="44188F3B">
            <w:pPr>
              <w:spacing w:after="0" w:line="240" w:lineRule="auto"/>
              <w:jc w:val="center"/>
              <w:rPr>
                <w:rFonts w:asciiTheme="majorHAnsi" w:hAnsiTheme="majorHAnsi" w:cstheme="majorHAnsi"/>
                <w:sz w:val="20"/>
                <w:szCs w:val="20"/>
              </w:rPr>
            </w:pPr>
            <w:r>
              <w:rPr>
                <w:rFonts w:asciiTheme="majorHAnsi" w:hAnsiTheme="majorHAnsi" w:cstheme="majorHAnsi"/>
                <w:b/>
                <w:bCs/>
                <w:color w:val="FFFFFF"/>
                <w:sz w:val="20"/>
                <w:szCs w:val="20"/>
              </w:rPr>
              <w:t>Main heading</w:t>
            </w:r>
          </w:p>
        </w:tc>
        <w:tc>
          <w:tcPr>
            <w:tcW w:w="1134" w:type="dxa"/>
            <w:shd w:val="clear" w:color="auto" w:fill="17365D"/>
            <w:tcMar>
              <w:top w:w="0" w:type="dxa"/>
              <w:left w:w="108" w:type="dxa"/>
              <w:bottom w:w="0" w:type="dxa"/>
              <w:right w:w="108" w:type="dxa"/>
            </w:tcMar>
            <w:vAlign w:val="center"/>
          </w:tcPr>
          <w:p w14:paraId="7D3BAA57">
            <w:pPr>
              <w:spacing w:after="0" w:line="240" w:lineRule="auto"/>
              <w:jc w:val="center"/>
              <w:rPr>
                <w:rFonts w:asciiTheme="majorHAnsi" w:hAnsiTheme="majorHAnsi" w:cstheme="majorHAnsi"/>
                <w:sz w:val="20"/>
                <w:szCs w:val="20"/>
              </w:rPr>
            </w:pPr>
            <w:r>
              <w:rPr>
                <w:rFonts w:asciiTheme="majorHAnsi" w:hAnsiTheme="majorHAnsi" w:cstheme="majorHAnsi"/>
                <w:b/>
                <w:bCs/>
                <w:color w:val="FFFFFF"/>
                <w:sz w:val="20"/>
                <w:szCs w:val="20"/>
              </w:rPr>
              <w:t>Page</w:t>
            </w:r>
          </w:p>
        </w:tc>
      </w:tr>
      <w:tr w14:paraId="61B85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275" w:type="dxa"/>
            <w:shd w:val="clear" w:color="auto" w:fill="EAF2F8"/>
            <w:tcMar>
              <w:top w:w="0" w:type="dxa"/>
              <w:left w:w="108" w:type="dxa"/>
              <w:bottom w:w="0" w:type="dxa"/>
              <w:right w:w="108" w:type="dxa"/>
            </w:tcMar>
            <w:vAlign w:val="center"/>
          </w:tcPr>
          <w:p w14:paraId="0471B70F">
            <w:pPr>
              <w:spacing w:after="0" w:line="240" w:lineRule="auto"/>
              <w:jc w:val="center"/>
              <w:rPr>
                <w:rFonts w:asciiTheme="majorHAnsi" w:hAnsiTheme="majorHAnsi" w:cstheme="majorHAnsi"/>
                <w:sz w:val="20"/>
                <w:szCs w:val="20"/>
              </w:rPr>
            </w:pPr>
            <w:r>
              <w:rPr>
                <w:rFonts w:asciiTheme="majorHAnsi" w:hAnsiTheme="majorHAnsi" w:cstheme="majorHAnsi"/>
                <w:color w:val="000000"/>
                <w:sz w:val="20"/>
                <w:szCs w:val="20"/>
              </w:rPr>
              <w:t>1</w:t>
            </w:r>
          </w:p>
        </w:tc>
        <w:tc>
          <w:tcPr>
            <w:tcW w:w="4669" w:type="dxa"/>
            <w:tcMar>
              <w:top w:w="0" w:type="dxa"/>
              <w:left w:w="108" w:type="dxa"/>
              <w:bottom w:w="0" w:type="dxa"/>
              <w:right w:w="108" w:type="dxa"/>
            </w:tcMar>
            <w:vAlign w:val="center"/>
          </w:tcPr>
          <w:p w14:paraId="19886157">
            <w:pPr>
              <w:spacing w:after="0" w:line="240" w:lineRule="auto"/>
              <w:rPr>
                <w:rFonts w:asciiTheme="majorHAnsi" w:hAnsiTheme="majorHAnsi" w:cstheme="majorHAnsi"/>
                <w:sz w:val="20"/>
                <w:szCs w:val="20"/>
              </w:rPr>
            </w:pPr>
            <w:r>
              <w:rPr>
                <w:rFonts w:asciiTheme="majorHAnsi" w:hAnsiTheme="majorHAnsi" w:cstheme="majorHAnsi"/>
                <w:color w:val="000000"/>
                <w:sz w:val="20"/>
                <w:szCs w:val="20"/>
              </w:rPr>
              <w:t>Executive Insight Dashboard</w:t>
            </w:r>
          </w:p>
        </w:tc>
        <w:tc>
          <w:tcPr>
            <w:tcW w:w="1134" w:type="dxa"/>
            <w:shd w:val="clear" w:color="auto" w:fill="F7FBFF"/>
            <w:tcMar>
              <w:top w:w="0" w:type="dxa"/>
              <w:left w:w="108" w:type="dxa"/>
              <w:bottom w:w="0" w:type="dxa"/>
              <w:right w:w="108" w:type="dxa"/>
            </w:tcMar>
            <w:vAlign w:val="center"/>
          </w:tcPr>
          <w:p w14:paraId="200B0480">
            <w:pPr>
              <w:spacing w:after="0" w:line="240" w:lineRule="auto"/>
              <w:jc w:val="center"/>
              <w:rPr>
                <w:rFonts w:asciiTheme="majorHAnsi" w:hAnsiTheme="majorHAnsi" w:cstheme="majorHAnsi"/>
                <w:sz w:val="20"/>
                <w:szCs w:val="20"/>
              </w:rPr>
            </w:pPr>
            <w:r>
              <w:rPr>
                <w:rFonts w:asciiTheme="majorHAnsi" w:hAnsiTheme="majorHAnsi" w:cstheme="majorHAnsi"/>
                <w:color w:val="000000"/>
                <w:sz w:val="20"/>
                <w:szCs w:val="20"/>
              </w:rPr>
              <w:t>3</w:t>
            </w:r>
          </w:p>
        </w:tc>
      </w:tr>
      <w:tr w14:paraId="35FC1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275" w:type="dxa"/>
            <w:shd w:val="clear" w:color="auto" w:fill="EAF2F8"/>
            <w:tcMar>
              <w:top w:w="0" w:type="dxa"/>
              <w:left w:w="108" w:type="dxa"/>
              <w:bottom w:w="0" w:type="dxa"/>
              <w:right w:w="108" w:type="dxa"/>
            </w:tcMar>
            <w:vAlign w:val="center"/>
          </w:tcPr>
          <w:p w14:paraId="77FAE729">
            <w:pPr>
              <w:spacing w:after="0" w:line="240" w:lineRule="auto"/>
              <w:jc w:val="center"/>
              <w:rPr>
                <w:rFonts w:asciiTheme="majorHAnsi" w:hAnsiTheme="majorHAnsi" w:cstheme="majorHAnsi"/>
                <w:sz w:val="20"/>
                <w:szCs w:val="20"/>
              </w:rPr>
            </w:pPr>
            <w:r>
              <w:rPr>
                <w:rFonts w:asciiTheme="majorHAnsi" w:hAnsiTheme="majorHAnsi" w:cstheme="majorHAnsi"/>
                <w:color w:val="000000"/>
                <w:sz w:val="20"/>
                <w:szCs w:val="20"/>
              </w:rPr>
              <w:t>2</w:t>
            </w:r>
          </w:p>
        </w:tc>
        <w:tc>
          <w:tcPr>
            <w:tcW w:w="4669" w:type="dxa"/>
            <w:tcMar>
              <w:top w:w="0" w:type="dxa"/>
              <w:left w:w="108" w:type="dxa"/>
              <w:bottom w:w="0" w:type="dxa"/>
              <w:right w:w="108" w:type="dxa"/>
            </w:tcMar>
            <w:vAlign w:val="center"/>
          </w:tcPr>
          <w:p w14:paraId="6F831231">
            <w:pPr>
              <w:spacing w:after="0" w:line="240" w:lineRule="auto"/>
              <w:rPr>
                <w:rFonts w:asciiTheme="majorHAnsi" w:hAnsiTheme="majorHAnsi" w:cstheme="majorHAnsi"/>
                <w:sz w:val="20"/>
                <w:szCs w:val="20"/>
              </w:rPr>
            </w:pPr>
            <w:r>
              <w:rPr>
                <w:rFonts w:asciiTheme="majorHAnsi" w:hAnsiTheme="majorHAnsi" w:cstheme="majorHAnsi"/>
                <w:color w:val="000000"/>
                <w:sz w:val="20"/>
                <w:szCs w:val="20"/>
              </w:rPr>
              <w:t>Why OEE Is Going Down</w:t>
            </w:r>
          </w:p>
        </w:tc>
        <w:tc>
          <w:tcPr>
            <w:tcW w:w="1134" w:type="dxa"/>
            <w:shd w:val="clear" w:color="auto" w:fill="F7FBFF"/>
            <w:tcMar>
              <w:top w:w="0" w:type="dxa"/>
              <w:left w:w="108" w:type="dxa"/>
              <w:bottom w:w="0" w:type="dxa"/>
              <w:right w:w="108" w:type="dxa"/>
            </w:tcMar>
            <w:vAlign w:val="center"/>
          </w:tcPr>
          <w:p w14:paraId="125DDD36">
            <w:pPr>
              <w:spacing w:after="0" w:line="240" w:lineRule="auto"/>
              <w:jc w:val="center"/>
              <w:rPr>
                <w:rFonts w:asciiTheme="majorHAnsi" w:hAnsiTheme="majorHAnsi" w:cstheme="majorHAnsi"/>
                <w:sz w:val="20"/>
                <w:szCs w:val="20"/>
              </w:rPr>
            </w:pPr>
            <w:r>
              <w:rPr>
                <w:rFonts w:asciiTheme="majorHAnsi" w:hAnsiTheme="majorHAnsi" w:cstheme="majorHAnsi"/>
                <w:color w:val="000000"/>
                <w:sz w:val="20"/>
                <w:szCs w:val="20"/>
              </w:rPr>
              <w:t>4</w:t>
            </w:r>
          </w:p>
        </w:tc>
      </w:tr>
      <w:tr w14:paraId="1AFD0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275" w:type="dxa"/>
            <w:shd w:val="clear" w:color="auto" w:fill="EAF2F8"/>
            <w:tcMar>
              <w:top w:w="0" w:type="dxa"/>
              <w:left w:w="108" w:type="dxa"/>
              <w:bottom w:w="0" w:type="dxa"/>
              <w:right w:w="108" w:type="dxa"/>
            </w:tcMar>
            <w:vAlign w:val="center"/>
          </w:tcPr>
          <w:p w14:paraId="238D2387">
            <w:pPr>
              <w:spacing w:after="0" w:line="240" w:lineRule="auto"/>
              <w:jc w:val="center"/>
              <w:rPr>
                <w:rFonts w:asciiTheme="majorHAnsi" w:hAnsiTheme="majorHAnsi" w:cstheme="majorHAnsi"/>
                <w:sz w:val="20"/>
                <w:szCs w:val="20"/>
              </w:rPr>
            </w:pPr>
            <w:r>
              <w:rPr>
                <w:rFonts w:asciiTheme="majorHAnsi" w:hAnsiTheme="majorHAnsi" w:cstheme="majorHAnsi"/>
                <w:color w:val="000000"/>
                <w:sz w:val="20"/>
                <w:szCs w:val="20"/>
              </w:rPr>
              <w:t>3</w:t>
            </w:r>
          </w:p>
        </w:tc>
        <w:tc>
          <w:tcPr>
            <w:tcW w:w="4669" w:type="dxa"/>
            <w:tcMar>
              <w:top w:w="0" w:type="dxa"/>
              <w:left w:w="108" w:type="dxa"/>
              <w:bottom w:w="0" w:type="dxa"/>
              <w:right w:w="108" w:type="dxa"/>
            </w:tcMar>
            <w:vAlign w:val="center"/>
          </w:tcPr>
          <w:p w14:paraId="7898CA88">
            <w:pPr>
              <w:spacing w:after="0" w:line="240" w:lineRule="auto"/>
              <w:rPr>
                <w:rFonts w:asciiTheme="majorHAnsi" w:hAnsiTheme="majorHAnsi" w:cstheme="majorHAnsi"/>
                <w:sz w:val="20"/>
                <w:szCs w:val="20"/>
              </w:rPr>
            </w:pPr>
            <w:r>
              <w:rPr>
                <w:rFonts w:asciiTheme="majorHAnsi" w:hAnsiTheme="majorHAnsi" w:cstheme="majorHAnsi"/>
                <w:color w:val="000000"/>
                <w:sz w:val="20"/>
                <w:szCs w:val="20"/>
              </w:rPr>
              <w:t>Quality, Fault Risk and Improvement Opportunity</w:t>
            </w:r>
          </w:p>
        </w:tc>
        <w:tc>
          <w:tcPr>
            <w:tcW w:w="1134" w:type="dxa"/>
            <w:shd w:val="clear" w:color="auto" w:fill="F7FBFF"/>
            <w:tcMar>
              <w:top w:w="0" w:type="dxa"/>
              <w:left w:w="108" w:type="dxa"/>
              <w:bottom w:w="0" w:type="dxa"/>
              <w:right w:w="108" w:type="dxa"/>
            </w:tcMar>
            <w:vAlign w:val="center"/>
          </w:tcPr>
          <w:p w14:paraId="189EB11B">
            <w:pPr>
              <w:spacing w:after="0" w:line="240" w:lineRule="auto"/>
              <w:jc w:val="center"/>
              <w:rPr>
                <w:rFonts w:asciiTheme="majorHAnsi" w:hAnsiTheme="majorHAnsi" w:cstheme="majorHAnsi"/>
                <w:sz w:val="20"/>
                <w:szCs w:val="20"/>
              </w:rPr>
            </w:pPr>
            <w:r>
              <w:rPr>
                <w:rFonts w:asciiTheme="majorHAnsi" w:hAnsiTheme="majorHAnsi" w:cstheme="majorHAnsi"/>
                <w:color w:val="000000"/>
                <w:sz w:val="20"/>
                <w:szCs w:val="20"/>
              </w:rPr>
              <w:t>5</w:t>
            </w:r>
          </w:p>
        </w:tc>
      </w:tr>
      <w:tr w14:paraId="1FAD1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275" w:type="dxa"/>
            <w:shd w:val="clear" w:color="auto" w:fill="EAF2F8"/>
            <w:tcMar>
              <w:top w:w="0" w:type="dxa"/>
              <w:left w:w="108" w:type="dxa"/>
              <w:bottom w:w="0" w:type="dxa"/>
              <w:right w:w="108" w:type="dxa"/>
            </w:tcMar>
            <w:vAlign w:val="center"/>
          </w:tcPr>
          <w:p w14:paraId="758C0988">
            <w:pPr>
              <w:spacing w:after="0" w:line="240" w:lineRule="auto"/>
              <w:jc w:val="center"/>
              <w:rPr>
                <w:rFonts w:asciiTheme="majorHAnsi" w:hAnsiTheme="majorHAnsi" w:cstheme="majorHAnsi"/>
                <w:sz w:val="20"/>
                <w:szCs w:val="20"/>
              </w:rPr>
            </w:pPr>
            <w:r>
              <w:rPr>
                <w:rFonts w:asciiTheme="majorHAnsi" w:hAnsiTheme="majorHAnsi" w:cstheme="majorHAnsi"/>
                <w:sz w:val="20"/>
                <w:szCs w:val="20"/>
              </w:rPr>
              <w:t>4</w:t>
            </w:r>
          </w:p>
        </w:tc>
        <w:tc>
          <w:tcPr>
            <w:tcW w:w="4669" w:type="dxa"/>
            <w:tcMar>
              <w:top w:w="0" w:type="dxa"/>
              <w:left w:w="108" w:type="dxa"/>
              <w:bottom w:w="0" w:type="dxa"/>
              <w:right w:w="108" w:type="dxa"/>
            </w:tcMar>
            <w:vAlign w:val="center"/>
          </w:tcPr>
          <w:p w14:paraId="1856ADCE">
            <w:pPr>
              <w:spacing w:after="0" w:line="240" w:lineRule="auto"/>
              <w:rPr>
                <w:rFonts w:asciiTheme="majorHAnsi" w:hAnsiTheme="majorHAnsi" w:cstheme="majorHAnsi"/>
                <w:color w:val="000000"/>
                <w:sz w:val="20"/>
                <w:szCs w:val="20"/>
              </w:rPr>
            </w:pPr>
            <w:r>
              <w:rPr>
                <w:rFonts w:asciiTheme="majorHAnsi" w:hAnsiTheme="majorHAnsi" w:cstheme="majorHAnsi"/>
                <w:color w:val="000000"/>
                <w:sz w:val="20"/>
                <w:szCs w:val="20"/>
              </w:rPr>
              <w:t>Action Plan: What to Do Next Week</w:t>
            </w:r>
          </w:p>
        </w:tc>
        <w:tc>
          <w:tcPr>
            <w:tcW w:w="1134" w:type="dxa"/>
            <w:shd w:val="clear" w:color="auto" w:fill="F7FBFF"/>
            <w:tcMar>
              <w:top w:w="0" w:type="dxa"/>
              <w:left w:w="108" w:type="dxa"/>
              <w:bottom w:w="0" w:type="dxa"/>
              <w:right w:w="108" w:type="dxa"/>
            </w:tcMar>
            <w:vAlign w:val="center"/>
          </w:tcPr>
          <w:p w14:paraId="50567401">
            <w:pPr>
              <w:spacing w:after="0" w:line="240" w:lineRule="auto"/>
              <w:jc w:val="center"/>
              <w:rPr>
                <w:rFonts w:asciiTheme="majorHAnsi" w:hAnsiTheme="majorHAnsi" w:cstheme="majorHAnsi"/>
                <w:color w:val="000000"/>
                <w:sz w:val="20"/>
                <w:szCs w:val="20"/>
              </w:rPr>
            </w:pPr>
            <w:r>
              <w:rPr>
                <w:rFonts w:asciiTheme="majorHAnsi" w:hAnsiTheme="majorHAnsi" w:cstheme="majorHAnsi"/>
                <w:color w:val="000000"/>
                <w:sz w:val="20"/>
                <w:szCs w:val="20"/>
              </w:rPr>
              <w:t>6</w:t>
            </w:r>
          </w:p>
        </w:tc>
      </w:tr>
      <w:tr w14:paraId="6E16D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275" w:type="dxa"/>
            <w:tcBorders>
              <w:top w:val="nil"/>
              <w:left w:val="single" w:color="auto" w:sz="8" w:space="0"/>
              <w:bottom w:val="single" w:color="auto" w:sz="8" w:space="0"/>
              <w:right w:val="single" w:color="auto" w:sz="8" w:space="0"/>
            </w:tcBorders>
            <w:shd w:val="clear" w:color="auto" w:fill="EAF2F8"/>
            <w:tcMar>
              <w:top w:w="0" w:type="dxa"/>
              <w:left w:w="108" w:type="dxa"/>
              <w:bottom w:w="0" w:type="dxa"/>
              <w:right w:w="108" w:type="dxa"/>
            </w:tcMar>
            <w:vAlign w:val="center"/>
          </w:tcPr>
          <w:p w14:paraId="2F8FE639">
            <w:pPr>
              <w:spacing w:after="0" w:line="240" w:lineRule="auto"/>
              <w:jc w:val="center"/>
              <w:rPr>
                <w:rFonts w:asciiTheme="majorHAnsi" w:hAnsiTheme="majorHAnsi" w:cstheme="majorHAnsi"/>
                <w:kern w:val="2"/>
                <w:sz w:val="20"/>
                <w:szCs w:val="20"/>
                <w:lang w:val="en-IN" w:eastAsia="en-IN"/>
                <w14:ligatures w14:val="standardContextual"/>
              </w:rPr>
            </w:pPr>
          </w:p>
        </w:tc>
        <w:tc>
          <w:tcPr>
            <w:tcW w:w="4669" w:type="dxa"/>
            <w:tcBorders>
              <w:top w:val="nil"/>
              <w:left w:val="nil"/>
              <w:bottom w:val="single" w:color="auto" w:sz="8" w:space="0"/>
              <w:right w:val="single" w:color="auto" w:sz="8" w:space="0"/>
            </w:tcBorders>
            <w:tcMar>
              <w:top w:w="0" w:type="dxa"/>
              <w:left w:w="108" w:type="dxa"/>
              <w:bottom w:w="0" w:type="dxa"/>
              <w:right w:w="108" w:type="dxa"/>
            </w:tcMar>
            <w:vAlign w:val="center"/>
          </w:tcPr>
          <w:p w14:paraId="3E7FD579">
            <w:pPr>
              <w:spacing w:after="0" w:line="240" w:lineRule="auto"/>
              <w:rPr>
                <w:rFonts w:asciiTheme="majorHAnsi" w:hAnsiTheme="majorHAnsi" w:cstheme="majorHAnsi"/>
                <w:sz w:val="20"/>
                <w:szCs w:val="20"/>
              </w:rPr>
            </w:pPr>
          </w:p>
        </w:tc>
        <w:tc>
          <w:tcPr>
            <w:tcW w:w="1134" w:type="dxa"/>
            <w:tcBorders>
              <w:top w:val="nil"/>
              <w:left w:val="nil"/>
              <w:bottom w:val="single" w:color="auto" w:sz="8" w:space="0"/>
              <w:right w:val="single" w:color="auto" w:sz="8" w:space="0"/>
            </w:tcBorders>
            <w:shd w:val="clear" w:color="auto" w:fill="F7FBFF"/>
            <w:tcMar>
              <w:top w:w="0" w:type="dxa"/>
              <w:left w:w="108" w:type="dxa"/>
              <w:bottom w:w="0" w:type="dxa"/>
              <w:right w:w="108" w:type="dxa"/>
            </w:tcMar>
            <w:vAlign w:val="center"/>
          </w:tcPr>
          <w:p w14:paraId="492D68B6">
            <w:pPr>
              <w:spacing w:after="0" w:line="240" w:lineRule="auto"/>
              <w:jc w:val="center"/>
              <w:rPr>
                <w:rFonts w:asciiTheme="majorHAnsi" w:hAnsiTheme="majorHAnsi" w:cstheme="majorHAnsi"/>
                <w:sz w:val="20"/>
                <w:szCs w:val="20"/>
              </w:rPr>
            </w:pPr>
          </w:p>
        </w:tc>
      </w:tr>
    </w:tbl>
    <w:p w14:paraId="6ED9EDF7">
      <w:pPr>
        <w:rPr>
          <w:rFonts w:asciiTheme="majorHAnsi" w:hAnsiTheme="majorHAnsi" w:cstheme="majorHAnsi"/>
          <w:kern w:val="2"/>
          <w:sz w:val="20"/>
          <w:szCs w:val="20"/>
          <w:lang w:val="en-IN" w:eastAsia="en-IN"/>
          <w14:ligatures w14:val="standardContextual"/>
        </w:rPr>
      </w:pPr>
    </w:p>
    <w:p w14:paraId="26C566E3">
      <w:pPr>
        <w:rPr>
          <w:rFonts w:asciiTheme="majorHAnsi" w:hAnsiTheme="majorHAnsi" w:cstheme="majorHAnsi"/>
          <w:kern w:val="2"/>
          <w:sz w:val="20"/>
          <w:szCs w:val="20"/>
          <w:lang w:val="en-IN" w:eastAsia="en-IN"/>
          <w14:ligatures w14:val="standardContextual"/>
        </w:rPr>
      </w:pPr>
    </w:p>
    <w:p w14:paraId="33B8080A">
      <w:pPr>
        <w:rPr>
          <w:rFonts w:asciiTheme="majorHAnsi" w:hAnsiTheme="majorHAnsi" w:cstheme="majorHAnsi"/>
          <w:kern w:val="2"/>
          <w:sz w:val="20"/>
          <w:szCs w:val="20"/>
          <w:lang w:val="en-IN" w:eastAsia="en-IN"/>
          <w14:ligatures w14:val="standardContextual"/>
        </w:rPr>
      </w:pPr>
    </w:p>
    <w:p w14:paraId="0161D719">
      <w:pPr>
        <w:rPr>
          <w:rFonts w:asciiTheme="majorHAnsi" w:hAnsiTheme="majorHAnsi" w:cstheme="majorHAnsi"/>
          <w:kern w:val="2"/>
          <w:sz w:val="20"/>
          <w:szCs w:val="20"/>
          <w:lang w:val="en-IN" w:eastAsia="en-IN"/>
          <w14:ligatures w14:val="standardContextual"/>
        </w:rPr>
      </w:pPr>
    </w:p>
    <w:p w14:paraId="286DD364">
      <w:pPr>
        <w:rPr>
          <w:rFonts w:asciiTheme="majorHAnsi" w:hAnsiTheme="majorHAnsi" w:cstheme="majorHAnsi"/>
          <w:kern w:val="2"/>
          <w:sz w:val="20"/>
          <w:szCs w:val="20"/>
          <w:lang w:val="en-IN" w:eastAsia="en-IN"/>
          <w14:ligatures w14:val="standardContextual"/>
        </w:rPr>
      </w:pPr>
    </w:p>
    <w:p w14:paraId="40BE8C8C">
      <w:pPr>
        <w:pStyle w:val="2"/>
        <w:pageBreakBefore/>
        <w:spacing w:before="0" w:after="40" w:line="216" w:lineRule="auto"/>
      </w:pPr>
      <w:r>
        <w:rPr>
          <w:b/>
          <w:sz w:val="28"/>
        </w:rPr>
        <w:t>1. Executive Insight Dashboard</w:t>
      </w:r>
    </w:p>
    <w:p w14:paraId="6922A11C">
      <w:pPr>
        <w:spacing w:after="40" w:before="0" w:line="216" w:lineRule="auto"/>
        <w:rPr>
          <w:rFonts w:asciiTheme="majorHAnsi" w:hAnsiTheme="majorHAnsi" w:cstheme="majorHAnsi"/>
          <w:sz w:val="20"/>
          <w:szCs w:val="20"/>
        </w:rPr>
      </w:pPr>
      <w:r>
        <w:rPr>
          <w:b w:val="0"/>
          <w:sz w:val="18"/>
        </w:rPr>
        <w:t>This page explains the verified OEE results in plain language for operations, maintenance and management users.</w:t>
      </w:r>
    </w:p>
    <w:p w14:paraId="0C099A7B">
      <w:pPr>
        <w:spacing w:before="0" w:after="40" w:line="216" w:lineRule="auto"/>
        <w:rPr>
          <w:kern w:val="2"/>
          <w:szCs w:val="18"/>
          <w:lang w:val="en-IN" w:eastAsia="en-IN"/>
          <w14:ligatures w14:val="standardContextual"/>
        </w:rPr>
      </w:pPr>
      <w:r>
        <w:rPr>
          <w:b/>
          <w:sz w:val="20"/>
        </w:rPr>
        <w:t>Summary</w:t>
      </w:r>
    </w:p>
    <w:p w14:paraId="3ED8B704">
      <w:pPr>
        <w:rPr>
          <w:b/>
          <w:bCs/>
          <w:kern w:val="2"/>
          <w:sz w:val="20"/>
          <w:szCs w:val="20"/>
          <w:u w:val="single"/>
          <w:lang w:val="en-IN" w:eastAsia="en-IN"/>
          <w14:ligatures w14:val="standardContextual"/>
        </w:rPr>
      </w:pPr>
      <w:bookmarkStart w:id="0" w:name="_GoBack"/>
      <w:bookmarkEnd w:id="0"/>
      <w:r>
        <w:rPr>
          <w:b w:val="0"/>
          <w:sz w:val="16"/>
        </w:rPr>
        <w:t>The current OEE is 53.57%, below the target of 85.00%. Performance is the weakest KPI at 54.87%, while Quality is the strongest at 99.85%.</w:t>
      </w:r>
    </w:p>
    <w:p w14:paraId="708BAF99">
      <w:pPr>
        <w:jc w:val="center"/>
        <w:rPr>
          <w:rFonts w:asciiTheme="majorHAnsi" w:hAnsiTheme="majorHAnsi" w:cstheme="majorHAnsi"/>
          <w:sz w:val="20"/>
          <w:szCs w:val="20"/>
        </w:rPr>
      </w:pPr>
      <w:r>
        <w:drawing>
          <wp:inline xmlns:a="http://schemas.openxmlformats.org/drawingml/2006/main" xmlns:pic="http://schemas.openxmlformats.org/drawingml/2006/picture">
            <wp:extent cx="4799965" cy="2616546"/>
            <wp:docPr id="1421391293" name="Picture 1421391293"/>
            <wp:cNvGraphicFramePr>
              <a:graphicFrameLocks noChangeAspect="1"/>
            </wp:cNvGraphicFramePr>
            <a:graphic>
              <a:graphicData uri="http://schemas.openxmlformats.org/drawingml/2006/picture">
                <pic:pic>
                  <pic:nvPicPr>
                    <pic:cNvPr id="0" name="kpi_scorecard.png"/>
                    <pic:cNvPicPr/>
                  </pic:nvPicPr>
                  <pic:blipFill>
                    <a:blip r:embed="rId21"/>
                    <a:stretch>
                      <a:fillRect/>
                    </a:stretch>
                  </pic:blipFill>
                  <pic:spPr>
                    <a:xfrm>
                      <a:off x="0" y="0"/>
                      <a:ext cx="4799965" cy="2616546"/>
                    </a:xfrm>
                    <a:prstGeom prst="rect"/>
                  </pic:spPr>
                </pic:pic>
              </a:graphicData>
            </a:graphic>
          </wp:inline>
        </w:drawing>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gridCol w:w="3544"/>
        <w:gridCol w:w="3543"/>
      </w:tblGrid>
      <w:tr w14:paraId="6A197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3" w:type="dxa"/>
            <w:tcBorders>
              <w:top w:val="single" w:color="9DC3E6" w:sz="10" w:space="0"/>
              <w:left w:val="single" w:color="9DC3E6" w:sz="10" w:space="0"/>
              <w:bottom w:val="single" w:color="9DC3E6" w:sz="10" w:space="0"/>
              <w:right w:val="single" w:color="9DC3E6" w:sz="10" w:space="0"/>
            </w:tcBorders>
            <w:shd w:val="clear" w:color="auto" w:fill="D99594" w:themeFill="accent2" w:themeFillTint="99"/>
          </w:tcPr>
          <w:p>
            <w:pPr>
              <w:spacing w:before="0" w:after="0" w:line="216" w:lineRule="auto"/>
            </w:pPr>
            <w:r/>
            <w:r>
              <w:rPr>
                <w:b/>
                <w:sz w:val="14"/>
              </w:rPr>
              <w:t>1. Main loss driver</w:t>
              <w:br/>
            </w:r>
            <w:r>
              <w:rPr>
                <w:b w:val="0"/>
                <w:sz w:val="14"/>
              </w:rPr>
              <w:t>Fillpac 4 Belt Not Running accounts for 178.81 minutes of classified downtime, representing 37.91% of total classified downtime.</w:t>
            </w:r>
          </w:p>
        </w:tc>
        <w:tc>
          <w:tcPr>
            <w:tcW w:w="3544" w:type="dxa"/>
            <w:tcBorders>
              <w:top w:val="single" w:color="9DC3E6" w:sz="10" w:space="0"/>
              <w:left w:val="single" w:color="9DC3E6" w:sz="10" w:space="0"/>
              <w:bottom w:val="single" w:color="9DC3E6" w:sz="10" w:space="0"/>
              <w:right w:val="single" w:color="9DC3E6" w:sz="10" w:space="0"/>
            </w:tcBorders>
          </w:tcPr>
          <w:p>
            <w:pPr>
              <w:spacing w:before="0" w:after="0" w:line="216" w:lineRule="auto"/>
            </w:pPr>
            <w:r/>
            <w:r>
              <w:rPr>
                <w:b/>
                <w:sz w:val="14"/>
              </w:rPr>
              <w:t>2. Performance concern</w:t>
              <w:br/>
            </w:r>
            <w:r>
              <w:rPr>
                <w:b w:val="0"/>
                <w:sz w:val="14"/>
              </w:rPr>
              <w:t>The actual good bags produced are 35,913 while the expected good bags were 65,450. This represents a production gap of 29,537 bags.</w:t>
            </w:r>
          </w:p>
        </w:tc>
        <w:tc>
          <w:tcPr>
            <w:tcW w:w="3543" w:type="dxa"/>
            <w:tcBorders>
              <w:top w:val="single" w:color="9DC3E6" w:sz="10" w:space="0"/>
              <w:left w:val="single" w:color="9DC3E6" w:sz="10" w:space="0"/>
              <w:bottom w:val="single" w:color="9DC3E6" w:sz="10" w:space="0"/>
              <w:right w:val="single" w:color="9DC3E6" w:sz="10" w:space="0"/>
            </w:tcBorders>
          </w:tcPr>
          <w:p>
            <w:pPr>
              <w:spacing w:before="0" w:after="0" w:line="216" w:lineRule="auto"/>
            </w:pPr>
            <w:r/>
            <w:r>
              <w:rPr>
                <w:b/>
                <w:sz w:val="14"/>
              </w:rPr>
              <w:t>3. Strongest KPI</w:t>
              <w:br/>
            </w:r>
            <w:r>
              <w:rPr>
                <w:b w:val="0"/>
                <w:sz w:val="14"/>
              </w:rPr>
              <w:t>Quality is the strongest KPI at 99.85%.</w:t>
            </w:r>
          </w:p>
        </w:tc>
      </w:tr>
    </w:tbl>
    <w:p w14:paraId="4C3077EF">
      <w:pPr>
        <w:spacing w:before="120" w:after="60"/>
        <w:rPr>
          <w:kern w:val="2"/>
          <w:sz w:val="24"/>
          <w:szCs w:val="24"/>
          <w:lang w:val="en-IN" w:eastAsia="en-IN"/>
          <w14:ligatures w14:val="standardContextual"/>
        </w:rPr>
      </w:pPr>
      <w:r>
        <w:rPr>
          <w:rFonts w:ascii="Calibri" w:hAnsi="Calibri" w:cs="Calibri"/>
          <w:b/>
          <w:bCs/>
          <w:color w:val="17365D"/>
          <w:sz w:val="24"/>
          <w:szCs w:val="24"/>
        </w:rPr>
        <w:t>KPI Scorecard vs Industry Standard</w:t>
      </w:r>
    </w:p>
    <w:tbl>
      <w:tblPr>
        <w:tblStyle w:val="3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240"/>
        <w:gridCol w:w="1595"/>
        <w:gridCol w:w="1971"/>
        <w:gridCol w:w="5066"/>
      </w:tblGrid>
      <w:tr w14:paraId="1814A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2550" w:type="dxa"/>
            <w:tcBorders>
              <w:top w:val="single" w:color="FFFFFF" w:sz="8" w:space="0"/>
              <w:left w:val="single" w:color="FFFFFF" w:sz="8" w:space="0"/>
              <w:bottom w:val="single" w:color="FFFFFF" w:sz="8" w:space="0"/>
              <w:right w:val="single" w:color="FFFFFF" w:sz="8" w:space="0"/>
            </w:tcBorders>
            <w:shd w:val="clear" w:color="auto" w:fill="17365D"/>
            <w:tcMar>
              <w:top w:w="0" w:type="dxa"/>
              <w:left w:w="108" w:type="dxa"/>
              <w:bottom w:w="0" w:type="dxa"/>
              <w:right w:w="108" w:type="dxa"/>
            </w:tcMar>
            <w:vAlign w:val="center"/>
          </w:tcPr>
          <w:p w14:paraId="7D2C618A">
            <w:pPr>
              <w:spacing w:after="0" w:line="216" w:lineRule="auto" w:before="0"/>
              <w:jc w:val="center"/>
              <w:rPr>
                <w:kern w:val="2"/>
                <w:szCs w:val="18"/>
                <w:lang w:val="en-IN" w:eastAsia="en-IN"/>
                <w14:ligatures w14:val="standardContextual"/>
              </w:rPr>
            </w:pPr>
            <w:r>
              <w:rPr>
                <w:rFonts w:ascii="Calibri" w:hAnsi="Calibri" w:cs="Calibri"/>
                <w:b/>
                <w:bCs/>
                <w:color w:val="FFFFFF"/>
                <w:sz w:val="20"/>
                <w:szCs w:val="20"/>
              </w:rPr>
              <w:t>KPI</w:t>
            </w:r>
          </w:p>
        </w:tc>
        <w:tc>
          <w:tcPr>
            <w:tcW w:w="1800" w:type="dxa"/>
            <w:tcBorders>
              <w:top w:val="single" w:color="FFFFFF" w:sz="8" w:space="0"/>
              <w:left w:val="nil"/>
              <w:bottom w:val="single" w:color="FFFFFF" w:sz="8" w:space="0"/>
              <w:right w:val="single" w:color="FFFFFF" w:sz="8" w:space="0"/>
            </w:tcBorders>
            <w:shd w:val="clear" w:color="auto" w:fill="17365D"/>
            <w:tcMar>
              <w:top w:w="0" w:type="dxa"/>
              <w:left w:w="108" w:type="dxa"/>
              <w:bottom w:w="0" w:type="dxa"/>
              <w:right w:w="108" w:type="dxa"/>
            </w:tcMar>
            <w:vAlign w:val="center"/>
          </w:tcPr>
          <w:p w14:paraId="2AA6DA67">
            <w:pPr>
              <w:spacing w:after="0" w:line="216" w:lineRule="auto" w:before="0"/>
              <w:jc w:val="center"/>
            </w:pPr>
            <w:r>
              <w:rPr>
                <w:rFonts w:ascii="Calibri" w:hAnsi="Calibri" w:cs="Calibri"/>
                <w:b/>
                <w:bCs/>
                <w:color w:val="FFFFFF"/>
                <w:sz w:val="20"/>
                <w:szCs w:val="20"/>
              </w:rPr>
              <w:t>Current</w:t>
            </w:r>
          </w:p>
        </w:tc>
        <w:tc>
          <w:tcPr>
            <w:tcW w:w="2250" w:type="dxa"/>
            <w:tcBorders>
              <w:top w:val="single" w:color="FFFFFF" w:sz="8" w:space="0"/>
              <w:left w:val="nil"/>
              <w:bottom w:val="single" w:color="FFFFFF" w:sz="8" w:space="0"/>
              <w:right w:val="single" w:color="FFFFFF" w:sz="8" w:space="0"/>
            </w:tcBorders>
            <w:shd w:val="clear" w:color="auto" w:fill="17365D"/>
            <w:tcMar>
              <w:top w:w="0" w:type="dxa"/>
              <w:left w:w="108" w:type="dxa"/>
              <w:bottom w:w="0" w:type="dxa"/>
              <w:right w:w="108" w:type="dxa"/>
            </w:tcMar>
            <w:vAlign w:val="center"/>
          </w:tcPr>
          <w:p w14:paraId="5E157137">
            <w:pPr>
              <w:spacing w:after="0" w:line="216" w:lineRule="auto" w:before="0"/>
              <w:jc w:val="center"/>
            </w:pPr>
            <w:r>
              <w:rPr>
                <w:rFonts w:ascii="Calibri" w:hAnsi="Calibri" w:cs="Calibri"/>
                <w:b/>
                <w:bCs/>
                <w:color w:val="FFFFFF"/>
                <w:sz w:val="20"/>
                <w:szCs w:val="20"/>
              </w:rPr>
              <w:t>Industry standard</w:t>
            </w:r>
          </w:p>
        </w:tc>
        <w:tc>
          <w:tcPr>
            <w:tcW w:w="2550" w:type="dxa"/>
            <w:tcBorders>
              <w:top w:val="single" w:color="FFFFFF" w:sz="8" w:space="0"/>
              <w:left w:val="nil"/>
              <w:bottom w:val="single" w:color="FFFFFF" w:sz="8" w:space="0"/>
              <w:right w:val="single" w:color="FFFFFF" w:sz="8" w:space="0"/>
            </w:tcBorders>
            <w:shd w:val="clear" w:color="auto" w:fill="17365D"/>
            <w:tcMar>
              <w:top w:w="0" w:type="dxa"/>
              <w:left w:w="108" w:type="dxa"/>
              <w:bottom w:w="0" w:type="dxa"/>
              <w:right w:w="108" w:type="dxa"/>
            </w:tcMar>
            <w:vAlign w:val="center"/>
          </w:tcPr>
          <w:p w14:paraId="77A535FA">
            <w:pPr>
              <w:spacing w:after="0" w:line="216" w:lineRule="auto" w:before="0"/>
              <w:jc w:val="center"/>
            </w:pPr>
            <w:r>
              <w:rPr>
                <w:rFonts w:ascii="Calibri" w:hAnsi="Calibri" w:cs="Calibri"/>
                <w:b/>
                <w:bCs/>
                <w:color w:val="FFFFFF"/>
                <w:sz w:val="20"/>
                <w:szCs w:val="20"/>
              </w:rPr>
              <w:t>Status</w:t>
            </w:r>
          </w:p>
        </w:tc>
      </w:tr>
      <w:tr w14:paraId="2228FB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single" w:color="auto" w:sz="8" w:space="0"/>
              <w:bottom w:val="single" w:color="auto" w:sz="8" w:space="0"/>
              <w:right w:val="single" w:color="auto" w:sz="8" w:space="0"/>
            </w:tcBorders>
            <w:shd w:val="clear" w:color="auto" w:fill="EAF2F8"/>
            <w:tcMar>
              <w:top w:w="0" w:type="dxa"/>
              <w:left w:w="108" w:type="dxa"/>
              <w:bottom w:w="0" w:type="dxa"/>
              <w:right w:w="108" w:type="dxa"/>
            </w:tcMar>
            <w:vAlign w:val="center"/>
          </w:tcPr>
          <w:p>
            <w:pPr>
              <w:spacing w:before="0" w:after="0" w:line="216" w:lineRule="auto"/>
              <w:jc w:val="center"/>
            </w:pPr>
            <w:r/>
            <w:r>
              <w:rPr>
                <w:b w:val="0"/>
                <w:sz w:val="14"/>
              </w:rPr>
              <w:t>OEE</w:t>
            </w:r>
          </w:p>
        </w:tc>
        <w:tc>
          <w:tcPr>
            <w:tcW w:w="0" w:type="auto"/>
            <w:tcBorders>
              <w:top w:val="nil"/>
              <w:left w:val="nil"/>
              <w:bottom w:val="single" w:color="auto" w:sz="8" w:space="0"/>
              <w:right w:val="single" w:color="auto" w:sz="8" w:space="0"/>
            </w:tcBorders>
            <w:tcMar>
              <w:top w:w="0" w:type="dxa"/>
              <w:left w:w="108" w:type="dxa"/>
              <w:bottom w:w="0" w:type="dxa"/>
              <w:right w:w="108" w:type="dxa"/>
            </w:tcMar>
            <w:vAlign w:val="center"/>
          </w:tcPr>
          <w:p>
            <w:pPr>
              <w:spacing w:before="0" w:after="0" w:line="216" w:lineRule="auto"/>
              <w:jc w:val="center"/>
            </w:pPr>
            <w:r/>
            <w:r>
              <w:rPr>
                <w:b w:val="0"/>
                <w:sz w:val="14"/>
              </w:rPr>
              <w:t>53.57%</w:t>
            </w:r>
          </w:p>
        </w:tc>
        <w:tc>
          <w:tcPr>
            <w:tcW w:w="0" w:type="auto"/>
            <w:tcBorders>
              <w:top w:val="nil"/>
              <w:left w:val="nil"/>
              <w:bottom w:val="single" w:color="auto" w:sz="8" w:space="0"/>
              <w:right w:val="single" w:color="auto" w:sz="8" w:space="0"/>
            </w:tcBorders>
            <w:tcMar>
              <w:top w:w="0" w:type="dxa"/>
              <w:left w:w="108" w:type="dxa"/>
              <w:bottom w:w="0" w:type="dxa"/>
              <w:right w:w="108" w:type="dxa"/>
            </w:tcMar>
            <w:vAlign w:val="center"/>
          </w:tcPr>
          <w:p>
            <w:pPr>
              <w:spacing w:before="0" w:after="0" w:line="216" w:lineRule="auto"/>
              <w:jc w:val="center"/>
            </w:pPr>
            <w:r/>
            <w:r>
              <w:rPr>
                <w:b w:val="0"/>
                <w:sz w:val="14"/>
              </w:rPr>
              <w:t>85% world-class</w:t>
            </w:r>
          </w:p>
        </w:tc>
        <w:tc>
          <w:tcPr>
            <w:tcW w:w="0" w:type="auto"/>
            <w:tcBorders>
              <w:top w:val="nil"/>
              <w:left w:val="nil"/>
              <w:bottom w:val="single" w:color="auto" w:sz="8" w:space="0"/>
              <w:right w:val="single" w:color="auto" w:sz="8" w:space="0"/>
            </w:tcBorders>
            <w:tcMar>
              <w:top w:w="0" w:type="dxa"/>
              <w:left w:w="108" w:type="dxa"/>
              <w:bottom w:w="0" w:type="dxa"/>
              <w:right w:w="108" w:type="dxa"/>
            </w:tcMar>
            <w:vAlign w:val="center"/>
          </w:tcPr>
          <w:p>
            <w:pPr>
              <w:spacing w:before="0" w:after="0" w:line="216" w:lineRule="auto"/>
              <w:jc w:val="center"/>
            </w:pPr>
            <w:r/>
            <w:r>
              <w:rPr>
                <w:b w:val="0"/>
                <w:sz w:val="14"/>
              </w:rPr>
              <w:t>Critical</w:t>
            </w:r>
          </w:p>
        </w:tc>
      </w:tr>
      <w:tr w14:paraId="2228FB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single" w:color="auto" w:sz="8" w:space="0"/>
              <w:bottom w:val="single" w:color="auto" w:sz="8" w:space="0"/>
              <w:right w:val="single" w:color="auto" w:sz="8" w:space="0"/>
            </w:tcBorders>
            <w:shd w:val="clear" w:color="auto" w:fill="EAF2F8"/>
            <w:tcMar>
              <w:top w:w="0" w:type="dxa"/>
              <w:left w:w="108" w:type="dxa"/>
              <w:bottom w:w="0" w:type="dxa"/>
              <w:right w:w="108" w:type="dxa"/>
            </w:tcMar>
            <w:vAlign w:val="center"/>
          </w:tcPr>
          <w:p>
            <w:pPr>
              <w:spacing w:before="0" w:after="0" w:line="216" w:lineRule="auto"/>
              <w:jc w:val="center"/>
            </w:pPr>
            <w:r/>
            <w:r>
              <w:rPr>
                <w:b w:val="0"/>
                <w:sz w:val="14"/>
              </w:rPr>
              <w:t>Availability</w:t>
            </w:r>
          </w:p>
        </w:tc>
        <w:tc>
          <w:tcPr>
            <w:tcW w:w="0" w:type="auto"/>
            <w:tcBorders>
              <w:top w:val="nil"/>
              <w:left w:val="nil"/>
              <w:bottom w:val="single" w:color="auto" w:sz="8" w:space="0"/>
              <w:right w:val="single" w:color="auto" w:sz="8" w:space="0"/>
            </w:tcBorders>
            <w:tcMar>
              <w:top w:w="0" w:type="dxa"/>
              <w:left w:w="108" w:type="dxa"/>
              <w:bottom w:w="0" w:type="dxa"/>
              <w:right w:w="108" w:type="dxa"/>
            </w:tcMar>
            <w:vAlign w:val="center"/>
          </w:tcPr>
          <w:p>
            <w:pPr>
              <w:spacing w:before="0" w:after="0" w:line="216" w:lineRule="auto"/>
              <w:jc w:val="center"/>
            </w:pPr>
            <w:r/>
            <w:r>
              <w:rPr>
                <w:b w:val="0"/>
                <w:sz w:val="14"/>
              </w:rPr>
              <w:t>97.77%</w:t>
            </w:r>
          </w:p>
        </w:tc>
        <w:tc>
          <w:tcPr>
            <w:tcW w:w="0" w:type="auto"/>
            <w:tcBorders>
              <w:top w:val="nil"/>
              <w:left w:val="nil"/>
              <w:bottom w:val="single" w:color="auto" w:sz="8" w:space="0"/>
              <w:right w:val="single" w:color="auto" w:sz="8" w:space="0"/>
            </w:tcBorders>
            <w:tcMar>
              <w:top w:w="0" w:type="dxa"/>
              <w:left w:w="108" w:type="dxa"/>
              <w:bottom w:w="0" w:type="dxa"/>
              <w:right w:w="108" w:type="dxa"/>
            </w:tcMar>
            <w:vAlign w:val="center"/>
          </w:tcPr>
          <w:p>
            <w:pPr>
              <w:spacing w:before="0" w:after="0" w:line="216" w:lineRule="auto"/>
              <w:jc w:val="center"/>
            </w:pPr>
            <w:r/>
            <w:r>
              <w:rPr>
                <w:b w:val="0"/>
                <w:sz w:val="14"/>
              </w:rPr>
              <w:t>90%+</w:t>
            </w:r>
          </w:p>
        </w:tc>
        <w:tc>
          <w:tcPr>
            <w:tcW w:w="0" w:type="auto"/>
            <w:tcBorders>
              <w:top w:val="nil"/>
              <w:left w:val="nil"/>
              <w:bottom w:val="single" w:color="auto" w:sz="8" w:space="0"/>
              <w:right w:val="single" w:color="auto" w:sz="8" w:space="0"/>
            </w:tcBorders>
            <w:tcMar>
              <w:top w:w="0" w:type="dxa"/>
              <w:left w:w="108" w:type="dxa"/>
              <w:bottom w:w="0" w:type="dxa"/>
              <w:right w:w="108" w:type="dxa"/>
            </w:tcMar>
            <w:vAlign w:val="center"/>
          </w:tcPr>
          <w:p>
            <w:pPr>
              <w:spacing w:before="0" w:after="0" w:line="216" w:lineRule="auto"/>
              <w:jc w:val="center"/>
            </w:pPr>
            <w:r/>
            <w:r>
              <w:rPr>
                <w:b w:val="0"/>
                <w:sz w:val="14"/>
              </w:rPr>
              <w:t>On Target</w:t>
            </w:r>
          </w:p>
        </w:tc>
      </w:tr>
      <w:tr w14:paraId="2228FB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single" w:color="auto" w:sz="8" w:space="0"/>
              <w:bottom w:val="single" w:color="auto" w:sz="8" w:space="0"/>
              <w:right w:val="single" w:color="auto" w:sz="8" w:space="0"/>
            </w:tcBorders>
            <w:shd w:val="clear" w:color="auto" w:fill="EAF2F8"/>
            <w:tcMar>
              <w:top w:w="0" w:type="dxa"/>
              <w:left w:w="108" w:type="dxa"/>
              <w:bottom w:w="0" w:type="dxa"/>
              <w:right w:w="108" w:type="dxa"/>
            </w:tcMar>
            <w:vAlign w:val="center"/>
          </w:tcPr>
          <w:p>
            <w:pPr>
              <w:spacing w:before="0" w:after="0" w:line="216" w:lineRule="auto"/>
              <w:jc w:val="center"/>
            </w:pPr>
            <w:r/>
            <w:r>
              <w:rPr>
                <w:b w:val="0"/>
                <w:sz w:val="14"/>
              </w:rPr>
              <w:t>Performance</w:t>
            </w:r>
          </w:p>
        </w:tc>
        <w:tc>
          <w:tcPr>
            <w:tcW w:w="0" w:type="auto"/>
            <w:tcBorders>
              <w:top w:val="nil"/>
              <w:left w:val="nil"/>
              <w:bottom w:val="single" w:color="auto" w:sz="8" w:space="0"/>
              <w:right w:val="single" w:color="auto" w:sz="8" w:space="0"/>
            </w:tcBorders>
            <w:tcMar>
              <w:top w:w="0" w:type="dxa"/>
              <w:left w:w="108" w:type="dxa"/>
              <w:bottom w:w="0" w:type="dxa"/>
              <w:right w:w="108" w:type="dxa"/>
            </w:tcMar>
            <w:vAlign w:val="center"/>
          </w:tcPr>
          <w:p>
            <w:pPr>
              <w:spacing w:before="0" w:after="0" w:line="216" w:lineRule="auto"/>
              <w:jc w:val="center"/>
            </w:pPr>
            <w:r/>
            <w:r>
              <w:rPr>
                <w:b w:val="0"/>
                <w:sz w:val="14"/>
              </w:rPr>
              <w:t>54.87%</w:t>
            </w:r>
          </w:p>
        </w:tc>
        <w:tc>
          <w:tcPr>
            <w:tcW w:w="0" w:type="auto"/>
            <w:tcBorders>
              <w:top w:val="nil"/>
              <w:left w:val="nil"/>
              <w:bottom w:val="single" w:color="auto" w:sz="8" w:space="0"/>
              <w:right w:val="single" w:color="auto" w:sz="8" w:space="0"/>
            </w:tcBorders>
            <w:tcMar>
              <w:top w:w="0" w:type="dxa"/>
              <w:left w:w="108" w:type="dxa"/>
              <w:bottom w:w="0" w:type="dxa"/>
              <w:right w:w="108" w:type="dxa"/>
            </w:tcMar>
            <w:vAlign w:val="center"/>
          </w:tcPr>
          <w:p>
            <w:pPr>
              <w:spacing w:before="0" w:after="0" w:line="216" w:lineRule="auto"/>
              <w:jc w:val="center"/>
            </w:pPr>
            <w:r/>
            <w:r>
              <w:rPr>
                <w:b w:val="0"/>
                <w:sz w:val="14"/>
              </w:rPr>
              <w:t>95%+</w:t>
            </w:r>
          </w:p>
        </w:tc>
        <w:tc>
          <w:tcPr>
            <w:tcW w:w="0" w:type="auto"/>
            <w:tcBorders>
              <w:top w:val="nil"/>
              <w:left w:val="nil"/>
              <w:bottom w:val="single" w:color="auto" w:sz="8" w:space="0"/>
              <w:right w:val="single" w:color="auto" w:sz="8" w:space="0"/>
            </w:tcBorders>
            <w:tcMar>
              <w:top w:w="0" w:type="dxa"/>
              <w:left w:w="108" w:type="dxa"/>
              <w:bottom w:w="0" w:type="dxa"/>
              <w:right w:w="108" w:type="dxa"/>
            </w:tcMar>
            <w:vAlign w:val="center"/>
          </w:tcPr>
          <w:p>
            <w:pPr>
              <w:spacing w:before="0" w:after="0" w:line="216" w:lineRule="auto"/>
              <w:jc w:val="center"/>
            </w:pPr>
            <w:r/>
            <w:r>
              <w:rPr>
                <w:b w:val="0"/>
                <w:sz w:val="14"/>
              </w:rPr>
              <w:t>Critical</w:t>
            </w:r>
          </w:p>
        </w:tc>
      </w:tr>
      <w:tr w14:paraId="2228FB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single" w:color="auto" w:sz="8" w:space="0"/>
              <w:bottom w:val="single" w:color="auto" w:sz="8" w:space="0"/>
              <w:right w:val="single" w:color="auto" w:sz="8" w:space="0"/>
            </w:tcBorders>
            <w:shd w:val="clear" w:color="auto" w:fill="EAF2F8"/>
            <w:tcMar>
              <w:top w:w="0" w:type="dxa"/>
              <w:left w:w="108" w:type="dxa"/>
              <w:bottom w:w="0" w:type="dxa"/>
              <w:right w:w="108" w:type="dxa"/>
            </w:tcMar>
            <w:vAlign w:val="center"/>
          </w:tcPr>
          <w:p>
            <w:pPr>
              <w:spacing w:before="0" w:after="0" w:line="216" w:lineRule="auto"/>
              <w:jc w:val="center"/>
            </w:pPr>
            <w:r/>
            <w:r>
              <w:rPr>
                <w:b w:val="0"/>
                <w:sz w:val="14"/>
              </w:rPr>
              <w:t>Quality</w:t>
            </w:r>
          </w:p>
        </w:tc>
        <w:tc>
          <w:tcPr>
            <w:tcW w:w="0" w:type="auto"/>
            <w:tcBorders>
              <w:top w:val="nil"/>
              <w:left w:val="nil"/>
              <w:bottom w:val="single" w:color="auto" w:sz="8" w:space="0"/>
              <w:right w:val="single" w:color="auto" w:sz="8" w:space="0"/>
            </w:tcBorders>
            <w:tcMar>
              <w:top w:w="0" w:type="dxa"/>
              <w:left w:w="108" w:type="dxa"/>
              <w:bottom w:w="0" w:type="dxa"/>
              <w:right w:w="108" w:type="dxa"/>
            </w:tcMar>
            <w:vAlign w:val="center"/>
          </w:tcPr>
          <w:p>
            <w:pPr>
              <w:spacing w:before="0" w:after="0" w:line="216" w:lineRule="auto"/>
              <w:jc w:val="center"/>
            </w:pPr>
            <w:r/>
            <w:r>
              <w:rPr>
                <w:b w:val="0"/>
                <w:sz w:val="14"/>
              </w:rPr>
              <w:t>99.85%</w:t>
            </w:r>
          </w:p>
        </w:tc>
        <w:tc>
          <w:tcPr>
            <w:tcW w:w="0" w:type="auto"/>
            <w:tcBorders>
              <w:top w:val="nil"/>
              <w:left w:val="nil"/>
              <w:bottom w:val="single" w:color="auto" w:sz="8" w:space="0"/>
              <w:right w:val="single" w:color="auto" w:sz="8" w:space="0"/>
            </w:tcBorders>
            <w:tcMar>
              <w:top w:w="0" w:type="dxa"/>
              <w:left w:w="108" w:type="dxa"/>
              <w:bottom w:w="0" w:type="dxa"/>
              <w:right w:w="108" w:type="dxa"/>
            </w:tcMar>
            <w:vAlign w:val="center"/>
          </w:tcPr>
          <w:p>
            <w:pPr>
              <w:spacing w:before="0" w:after="0" w:line="216" w:lineRule="auto"/>
              <w:jc w:val="center"/>
            </w:pPr>
            <w:r/>
            <w:r>
              <w:rPr>
                <w:b w:val="0"/>
                <w:sz w:val="14"/>
              </w:rPr>
              <w:t>99.9%</w:t>
            </w:r>
          </w:p>
        </w:tc>
        <w:tc>
          <w:tcPr>
            <w:tcW w:w="0" w:type="auto"/>
            <w:tcBorders>
              <w:top w:val="nil"/>
              <w:left w:val="nil"/>
              <w:bottom w:val="single" w:color="auto" w:sz="8" w:space="0"/>
              <w:right w:val="single" w:color="auto" w:sz="8" w:space="0"/>
            </w:tcBorders>
            <w:tcMar>
              <w:top w:w="0" w:type="dxa"/>
              <w:left w:w="108" w:type="dxa"/>
              <w:bottom w:w="0" w:type="dxa"/>
              <w:right w:w="108" w:type="dxa"/>
            </w:tcMar>
            <w:vAlign w:val="center"/>
          </w:tcPr>
          <w:p>
            <w:pPr>
              <w:spacing w:before="0" w:after="0" w:line="216" w:lineRule="auto"/>
              <w:jc w:val="center"/>
            </w:pPr>
            <w:r/>
            <w:r>
              <w:rPr>
                <w:b w:val="0"/>
                <w:sz w:val="14"/>
              </w:rPr>
              <w:t>Below Target</w:t>
            </w:r>
          </w:p>
        </w:tc>
      </w:tr>
    </w:tbl>
    <w:p w14:paraId="46EAFA3B">
      <w:pPr>
        <w:spacing w:before="0" w:after="40" w:line="216" w:lineRule="auto"/>
        <w:rPr>
          <w:kern w:val="2"/>
          <w:sz w:val="24"/>
          <w:szCs w:val="24"/>
          <w:lang w:val="en-IN" w:eastAsia="en-IN"/>
          <w14:ligatures w14:val="standardContextual"/>
        </w:rPr>
      </w:pPr>
      <w:r>
        <w:rPr>
          <w:b/>
          <w:sz w:val="20"/>
        </w:rPr>
        <w:t>Week 9 vs Week 10 Comparison</w:t>
      </w:r>
    </w:p>
    <w:tbl>
      <w:tblPr>
        <w:tblStyle w:val="3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762"/>
        <w:gridCol w:w="1193"/>
        <w:gridCol w:w="1193"/>
        <w:gridCol w:w="1244"/>
        <w:gridCol w:w="5480"/>
      </w:tblGrid>
      <w:tr w14:paraId="1A098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2400" w:type="dxa"/>
            <w:tcBorders>
              <w:top w:val="single" w:color="FFFFFF" w:sz="8" w:space="0"/>
              <w:left w:val="single" w:color="FFFFFF" w:sz="8" w:space="0"/>
              <w:bottom w:val="single" w:color="FFFFFF" w:sz="8" w:space="0"/>
              <w:right w:val="single" w:color="FFFFFF" w:sz="8" w:space="0"/>
            </w:tcBorders>
            <w:shd w:val="clear" w:color="auto" w:fill="17365D"/>
            <w:tcMar>
              <w:top w:w="0" w:type="dxa"/>
              <w:left w:w="108" w:type="dxa"/>
              <w:bottom w:w="0" w:type="dxa"/>
              <w:right w:w="108" w:type="dxa"/>
            </w:tcMar>
            <w:vAlign w:val="center"/>
          </w:tcPr>
          <w:p w14:paraId="4F7BB27E">
            <w:pPr>
              <w:spacing w:after="0" w:line="216" w:lineRule="auto" w:before="0"/>
              <w:jc w:val="center"/>
              <w:rPr>
                <w:kern w:val="2"/>
                <w:szCs w:val="18"/>
                <w:lang w:val="en-IN" w:eastAsia="en-IN"/>
                <w14:ligatures w14:val="standardContextual"/>
              </w:rPr>
            </w:pPr>
            <w:r>
              <w:rPr>
                <w:rFonts w:ascii="Calibri" w:hAnsi="Calibri" w:cs="Calibri"/>
                <w:b/>
                <w:bCs/>
                <w:color w:val="FFFFFF"/>
                <w:sz w:val="20"/>
                <w:szCs w:val="20"/>
              </w:rPr>
              <w:t>KPI / Parameter</w:t>
            </w:r>
          </w:p>
        </w:tc>
        <w:tc>
          <w:tcPr>
            <w:tcW w:w="1650" w:type="dxa"/>
            <w:tcBorders>
              <w:top w:val="single" w:color="FFFFFF" w:sz="8" w:space="0"/>
              <w:left w:val="nil"/>
              <w:bottom w:val="single" w:color="FFFFFF" w:sz="8" w:space="0"/>
              <w:right w:val="single" w:color="FFFFFF" w:sz="8" w:space="0"/>
            </w:tcBorders>
            <w:shd w:val="clear" w:color="auto" w:fill="17365D"/>
            <w:tcMar>
              <w:top w:w="0" w:type="dxa"/>
              <w:left w:w="108" w:type="dxa"/>
              <w:bottom w:w="0" w:type="dxa"/>
              <w:right w:w="108" w:type="dxa"/>
            </w:tcMar>
            <w:vAlign w:val="center"/>
          </w:tcPr>
          <w:p>
            <w:pPr>
              <w:spacing w:before="0" w:after="0" w:line="216" w:lineRule="auto"/>
            </w:pPr>
            <w:r/>
            <w:r>
              <w:rPr>
                <w:b/>
                <w:sz w:val="14"/>
              </w:rPr>
              <w:t>Week 9</w:t>
            </w:r>
          </w:p>
        </w:tc>
        <w:tc>
          <w:tcPr>
            <w:tcW w:w="1650" w:type="dxa"/>
            <w:tcBorders>
              <w:top w:val="single" w:color="FFFFFF" w:sz="8" w:space="0"/>
              <w:left w:val="nil"/>
              <w:bottom w:val="single" w:color="FFFFFF" w:sz="8" w:space="0"/>
              <w:right w:val="single" w:color="FFFFFF" w:sz="8" w:space="0"/>
            </w:tcBorders>
            <w:shd w:val="clear" w:color="auto" w:fill="17365D"/>
            <w:tcMar>
              <w:top w:w="0" w:type="dxa"/>
              <w:left w:w="108" w:type="dxa"/>
              <w:bottom w:w="0" w:type="dxa"/>
              <w:right w:w="108" w:type="dxa"/>
            </w:tcMar>
            <w:vAlign w:val="center"/>
          </w:tcPr>
          <w:p>
            <w:pPr>
              <w:spacing w:before="0" w:after="0" w:line="216" w:lineRule="auto"/>
            </w:pPr>
            <w:r/>
            <w:r>
              <w:rPr>
                <w:b/>
                <w:sz w:val="14"/>
              </w:rPr>
              <w:t>Week 10</w:t>
            </w:r>
          </w:p>
        </w:tc>
        <w:tc>
          <w:tcPr>
            <w:tcW w:w="1650" w:type="dxa"/>
            <w:tcBorders>
              <w:top w:val="single" w:color="FFFFFF" w:sz="8" w:space="0"/>
              <w:left w:val="nil"/>
              <w:bottom w:val="single" w:color="FFFFFF" w:sz="8" w:space="0"/>
              <w:right w:val="single" w:color="FFFFFF" w:sz="8" w:space="0"/>
            </w:tcBorders>
            <w:shd w:val="clear" w:color="auto" w:fill="17365D"/>
            <w:tcMar>
              <w:top w:w="0" w:type="dxa"/>
              <w:left w:w="108" w:type="dxa"/>
              <w:bottom w:w="0" w:type="dxa"/>
              <w:right w:w="108" w:type="dxa"/>
            </w:tcMar>
            <w:vAlign w:val="center"/>
          </w:tcPr>
          <w:p w14:paraId="08D825B9">
            <w:pPr>
              <w:spacing w:after="0" w:line="216" w:lineRule="auto" w:before="0"/>
              <w:jc w:val="center"/>
            </w:pPr>
            <w:r>
              <w:rPr>
                <w:rFonts w:ascii="Calibri" w:hAnsi="Calibri" w:cs="Calibri"/>
                <w:b/>
                <w:bCs/>
                <w:color w:val="FFFFFF"/>
                <w:sz w:val="20"/>
                <w:szCs w:val="20"/>
              </w:rPr>
              <w:t>Change</w:t>
            </w:r>
          </w:p>
        </w:tc>
        <w:tc>
          <w:tcPr>
            <w:tcW w:w="3750" w:type="dxa"/>
            <w:tcBorders>
              <w:top w:val="single" w:color="FFFFFF" w:sz="8" w:space="0"/>
              <w:left w:val="nil"/>
              <w:bottom w:val="single" w:color="FFFFFF" w:sz="8" w:space="0"/>
              <w:right w:val="single" w:color="FFFFFF" w:sz="8" w:space="0"/>
            </w:tcBorders>
            <w:shd w:val="clear" w:color="auto" w:fill="17365D"/>
            <w:tcMar>
              <w:top w:w="0" w:type="dxa"/>
              <w:left w:w="108" w:type="dxa"/>
              <w:bottom w:w="0" w:type="dxa"/>
              <w:right w:w="108" w:type="dxa"/>
            </w:tcMar>
            <w:vAlign w:val="center"/>
          </w:tcPr>
          <w:p w14:paraId="672BE553">
            <w:pPr>
              <w:spacing w:after="0" w:line="216" w:lineRule="auto" w:before="0"/>
              <w:jc w:val="center"/>
            </w:pPr>
            <w:r>
              <w:rPr>
                <w:rFonts w:ascii="Calibri" w:hAnsi="Calibri" w:cs="Calibri"/>
                <w:b/>
                <w:bCs/>
                <w:color w:val="FFFFFF"/>
                <w:sz w:val="20"/>
                <w:szCs w:val="20"/>
              </w:rPr>
              <w:t>Management insight</w:t>
            </w:r>
          </w:p>
        </w:tc>
      </w:tr>
      <w:tr w14:paraId="2749E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single" w:color="auto" w:sz="8" w:space="0"/>
              <w:bottom w:val="single" w:color="auto" w:sz="8" w:space="0"/>
              <w:right w:val="single" w:color="auto" w:sz="8" w:space="0"/>
            </w:tcBorders>
            <w:shd w:val="clear" w:color="auto" w:fill="EAF2F8"/>
            <w:tcMar>
              <w:top w:w="0" w:type="dxa"/>
              <w:left w:w="108" w:type="dxa"/>
              <w:bottom w:w="0" w:type="dxa"/>
              <w:right w:w="108" w:type="dxa"/>
            </w:tcMar>
            <w:vAlign w:val="center"/>
          </w:tcPr>
          <w:p>
            <w:pPr>
              <w:spacing w:before="0" w:after="0" w:line="216" w:lineRule="auto"/>
              <w:jc w:val="center"/>
            </w:pPr>
            <w:r/>
            <w:r>
              <w:rPr>
                <w:b w:val="0"/>
                <w:sz w:val="14"/>
              </w:rPr>
              <w:t>OEE</w:t>
            </w:r>
          </w:p>
        </w:tc>
        <w:tc>
          <w:tcPr>
            <w:tcW w:w="0" w:type="auto"/>
            <w:tcBorders>
              <w:top w:val="nil"/>
              <w:left w:val="nil"/>
              <w:bottom w:val="single" w:color="auto" w:sz="8" w:space="0"/>
              <w:right w:val="single" w:color="auto" w:sz="8" w:space="0"/>
            </w:tcBorders>
            <w:tcMar>
              <w:top w:w="0" w:type="dxa"/>
              <w:left w:w="108" w:type="dxa"/>
              <w:bottom w:w="0" w:type="dxa"/>
              <w:right w:w="108" w:type="dxa"/>
            </w:tcMar>
            <w:vAlign w:val="center"/>
          </w:tcPr>
          <w:p>
            <w:pPr>
              <w:spacing w:before="0" w:after="0" w:line="216" w:lineRule="auto"/>
            </w:pPr>
            <w:r/>
            <w:r>
              <w:rPr>
                <w:b w:val="0"/>
                <w:sz w:val="14"/>
              </w:rPr>
              <w:t>0.00%</w:t>
            </w:r>
          </w:p>
        </w:tc>
        <w:tc>
          <w:tcPr>
            <w:tcW w:w="0" w:type="auto"/>
            <w:tcBorders>
              <w:top w:val="nil"/>
              <w:left w:val="nil"/>
              <w:bottom w:val="single" w:color="auto" w:sz="8" w:space="0"/>
              <w:right w:val="single" w:color="auto" w:sz="8" w:space="0"/>
            </w:tcBorders>
            <w:tcMar>
              <w:top w:w="0" w:type="dxa"/>
              <w:left w:w="108" w:type="dxa"/>
              <w:bottom w:w="0" w:type="dxa"/>
              <w:right w:w="108" w:type="dxa"/>
            </w:tcMar>
            <w:vAlign w:val="center"/>
          </w:tcPr>
          <w:p>
            <w:pPr>
              <w:spacing w:before="0" w:after="0" w:line="216" w:lineRule="auto"/>
            </w:pPr>
            <w:r/>
            <w:r>
              <w:rPr>
                <w:b w:val="0"/>
                <w:sz w:val="14"/>
              </w:rPr>
              <w:t>53.57%</w:t>
            </w:r>
          </w:p>
        </w:tc>
        <w:tc>
          <w:tcPr>
            <w:tcW w:w="0" w:type="auto"/>
            <w:tcBorders>
              <w:top w:val="nil"/>
              <w:left w:val="nil"/>
              <w:bottom w:val="single" w:color="auto" w:sz="8" w:space="0"/>
              <w:right w:val="single" w:color="auto" w:sz="8" w:space="0"/>
            </w:tcBorders>
            <w:tcMar>
              <w:top w:w="0" w:type="dxa"/>
              <w:left w:w="108" w:type="dxa"/>
              <w:bottom w:w="0" w:type="dxa"/>
              <w:right w:w="108" w:type="dxa"/>
            </w:tcMar>
            <w:vAlign w:val="center"/>
          </w:tcPr>
          <w:p>
            <w:pPr>
              <w:spacing w:before="0" w:after="0" w:line="216" w:lineRule="auto"/>
            </w:pPr>
            <w:r/>
            <w:r>
              <w:rPr>
                <w:b w:val="0"/>
                <w:sz w:val="14"/>
              </w:rPr>
              <w:t>+53.57 pp</w:t>
            </w:r>
          </w:p>
        </w:tc>
        <w:tc>
          <w:tcPr>
            <w:tcW w:w="0" w:type="auto"/>
            <w:tcBorders>
              <w:top w:val="nil"/>
              <w:left w:val="nil"/>
              <w:bottom w:val="single" w:color="auto" w:sz="8" w:space="0"/>
              <w:right w:val="single" w:color="auto" w:sz="8" w:space="0"/>
            </w:tcBorders>
            <w:tcMar>
              <w:top w:w="0" w:type="dxa"/>
              <w:left w:w="108" w:type="dxa"/>
              <w:bottom w:w="0" w:type="dxa"/>
              <w:right w:w="108" w:type="dxa"/>
            </w:tcMar>
            <w:vAlign w:val="center"/>
          </w:tcPr>
          <w:p>
            <w:pPr>
              <w:spacing w:before="0" w:after="0" w:line="216" w:lineRule="auto"/>
            </w:pPr>
            <w:r/>
            <w:r>
              <w:rPr>
                <w:b w:val="0"/>
                <w:sz w:val="14"/>
              </w:rPr>
              <w:t>Availability increased by 97.77 percentage points from the previous week, Performance increased by 54.87 percentage points from the previous week, and Quality increased by 99.85 percentage points from the previous week.</w:t>
            </w:r>
          </w:p>
        </w:tc>
      </w:tr>
      <w:tr w14:paraId="2749E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single" w:color="auto" w:sz="8" w:space="0"/>
              <w:bottom w:val="single" w:color="auto" w:sz="8" w:space="0"/>
              <w:right w:val="single" w:color="auto" w:sz="8" w:space="0"/>
            </w:tcBorders>
            <w:shd w:val="clear" w:color="auto" w:fill="EAF2F8"/>
            <w:tcMar>
              <w:top w:w="0" w:type="dxa"/>
              <w:left w:w="108" w:type="dxa"/>
              <w:bottom w:w="0" w:type="dxa"/>
              <w:right w:w="108" w:type="dxa"/>
            </w:tcMar>
            <w:vAlign w:val="center"/>
          </w:tcPr>
          <w:p>
            <w:pPr>
              <w:spacing w:before="0" w:after="0" w:line="216" w:lineRule="auto"/>
              <w:jc w:val="center"/>
            </w:pPr>
            <w:r/>
            <w:r>
              <w:rPr>
                <w:b w:val="0"/>
                <w:sz w:val="14"/>
              </w:rPr>
              <w:t>Availability</w:t>
            </w:r>
          </w:p>
        </w:tc>
        <w:tc>
          <w:tcPr>
            <w:tcW w:w="0" w:type="auto"/>
            <w:tcBorders>
              <w:top w:val="nil"/>
              <w:left w:val="nil"/>
              <w:bottom w:val="single" w:color="auto" w:sz="8" w:space="0"/>
              <w:right w:val="single" w:color="auto" w:sz="8" w:space="0"/>
            </w:tcBorders>
            <w:tcMar>
              <w:top w:w="0" w:type="dxa"/>
              <w:left w:w="108" w:type="dxa"/>
              <w:bottom w:w="0" w:type="dxa"/>
              <w:right w:w="108" w:type="dxa"/>
            </w:tcMar>
            <w:vAlign w:val="center"/>
          </w:tcPr>
          <w:p>
            <w:pPr>
              <w:spacing w:before="0" w:after="0" w:line="216" w:lineRule="auto"/>
            </w:pPr>
            <w:r/>
            <w:r>
              <w:rPr>
                <w:b w:val="0"/>
                <w:sz w:val="14"/>
              </w:rPr>
              <w:t>0.00%</w:t>
            </w:r>
          </w:p>
        </w:tc>
        <w:tc>
          <w:tcPr>
            <w:tcW w:w="0" w:type="auto"/>
            <w:tcBorders>
              <w:top w:val="nil"/>
              <w:left w:val="nil"/>
              <w:bottom w:val="single" w:color="auto" w:sz="8" w:space="0"/>
              <w:right w:val="single" w:color="auto" w:sz="8" w:space="0"/>
            </w:tcBorders>
            <w:tcMar>
              <w:top w:w="0" w:type="dxa"/>
              <w:left w:w="108" w:type="dxa"/>
              <w:bottom w:w="0" w:type="dxa"/>
              <w:right w:w="108" w:type="dxa"/>
            </w:tcMar>
            <w:vAlign w:val="center"/>
          </w:tcPr>
          <w:p>
            <w:pPr>
              <w:spacing w:before="0" w:after="0" w:line="216" w:lineRule="auto"/>
            </w:pPr>
            <w:r/>
            <w:r>
              <w:rPr>
                <w:b w:val="0"/>
                <w:sz w:val="14"/>
              </w:rPr>
              <w:t>97.77%</w:t>
            </w:r>
          </w:p>
        </w:tc>
        <w:tc>
          <w:tcPr>
            <w:tcW w:w="0" w:type="auto"/>
            <w:tcBorders>
              <w:top w:val="nil"/>
              <w:left w:val="nil"/>
              <w:bottom w:val="single" w:color="auto" w:sz="8" w:space="0"/>
              <w:right w:val="single" w:color="auto" w:sz="8" w:space="0"/>
            </w:tcBorders>
            <w:tcMar>
              <w:top w:w="0" w:type="dxa"/>
              <w:left w:w="108" w:type="dxa"/>
              <w:bottom w:w="0" w:type="dxa"/>
              <w:right w:w="108" w:type="dxa"/>
            </w:tcMar>
            <w:vAlign w:val="center"/>
          </w:tcPr>
          <w:p>
            <w:pPr>
              <w:spacing w:before="0" w:after="0" w:line="216" w:lineRule="auto"/>
            </w:pPr>
            <w:r/>
            <w:r>
              <w:rPr>
                <w:b w:val="0"/>
                <w:sz w:val="14"/>
              </w:rPr>
              <w:t>+97.77 pp</w:t>
            </w:r>
          </w:p>
        </w:tc>
        <w:tc>
          <w:tcPr>
            <w:tcW w:w="0" w:type="auto"/>
            <w:tcBorders>
              <w:top w:val="nil"/>
              <w:left w:val="nil"/>
              <w:bottom w:val="single" w:color="auto" w:sz="8" w:space="0"/>
              <w:right w:val="single" w:color="auto" w:sz="8" w:space="0"/>
            </w:tcBorders>
            <w:tcMar>
              <w:top w:w="0" w:type="dxa"/>
              <w:left w:w="108" w:type="dxa"/>
              <w:bottom w:w="0" w:type="dxa"/>
              <w:right w:w="108" w:type="dxa"/>
            </w:tcMar>
            <w:vAlign w:val="center"/>
          </w:tcPr>
          <w:p>
            <w:pPr>
              <w:spacing w:before="0" w:after="0" w:line="216" w:lineRule="auto"/>
            </w:pPr>
            <w:r/>
            <w:r>
              <w:rPr>
                <w:b w:val="0"/>
                <w:sz w:val="14"/>
              </w:rPr>
              <w:t>Availability improved by 97.77 pp week over week; currently 7.77 points above the 90.00% target.</w:t>
            </w:r>
          </w:p>
        </w:tc>
      </w:tr>
      <w:tr w14:paraId="2749E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single" w:color="auto" w:sz="8" w:space="0"/>
              <w:bottom w:val="single" w:color="auto" w:sz="8" w:space="0"/>
              <w:right w:val="single" w:color="auto" w:sz="8" w:space="0"/>
            </w:tcBorders>
            <w:shd w:val="clear" w:color="auto" w:fill="EAF2F8"/>
            <w:tcMar>
              <w:top w:w="0" w:type="dxa"/>
              <w:left w:w="108" w:type="dxa"/>
              <w:bottom w:w="0" w:type="dxa"/>
              <w:right w:w="108" w:type="dxa"/>
            </w:tcMar>
            <w:vAlign w:val="center"/>
          </w:tcPr>
          <w:p>
            <w:pPr>
              <w:spacing w:before="0" w:after="0" w:line="216" w:lineRule="auto"/>
              <w:jc w:val="center"/>
            </w:pPr>
            <w:r/>
            <w:r>
              <w:rPr>
                <w:b w:val="0"/>
                <w:sz w:val="14"/>
              </w:rPr>
              <w:t>Performance</w:t>
            </w:r>
          </w:p>
        </w:tc>
        <w:tc>
          <w:tcPr>
            <w:tcW w:w="0" w:type="auto"/>
            <w:tcBorders>
              <w:top w:val="nil"/>
              <w:left w:val="nil"/>
              <w:bottom w:val="single" w:color="auto" w:sz="8" w:space="0"/>
              <w:right w:val="single" w:color="auto" w:sz="8" w:space="0"/>
            </w:tcBorders>
            <w:tcMar>
              <w:top w:w="0" w:type="dxa"/>
              <w:left w:w="108" w:type="dxa"/>
              <w:bottom w:w="0" w:type="dxa"/>
              <w:right w:w="108" w:type="dxa"/>
            </w:tcMar>
            <w:vAlign w:val="center"/>
          </w:tcPr>
          <w:p>
            <w:pPr>
              <w:spacing w:before="0" w:after="0" w:line="216" w:lineRule="auto"/>
            </w:pPr>
            <w:r/>
            <w:r>
              <w:rPr>
                <w:b w:val="0"/>
                <w:sz w:val="14"/>
              </w:rPr>
              <w:t>0.00%</w:t>
            </w:r>
          </w:p>
        </w:tc>
        <w:tc>
          <w:tcPr>
            <w:tcW w:w="0" w:type="auto"/>
            <w:tcBorders>
              <w:top w:val="nil"/>
              <w:left w:val="nil"/>
              <w:bottom w:val="single" w:color="auto" w:sz="8" w:space="0"/>
              <w:right w:val="single" w:color="auto" w:sz="8" w:space="0"/>
            </w:tcBorders>
            <w:tcMar>
              <w:top w:w="0" w:type="dxa"/>
              <w:left w:w="108" w:type="dxa"/>
              <w:bottom w:w="0" w:type="dxa"/>
              <w:right w:w="108" w:type="dxa"/>
            </w:tcMar>
            <w:vAlign w:val="center"/>
          </w:tcPr>
          <w:p>
            <w:pPr>
              <w:spacing w:before="0" w:after="0" w:line="216" w:lineRule="auto"/>
            </w:pPr>
            <w:r/>
            <w:r>
              <w:rPr>
                <w:b w:val="0"/>
                <w:sz w:val="14"/>
              </w:rPr>
              <w:t>54.87%</w:t>
            </w:r>
          </w:p>
        </w:tc>
        <w:tc>
          <w:tcPr>
            <w:tcW w:w="0" w:type="auto"/>
            <w:tcBorders>
              <w:top w:val="nil"/>
              <w:left w:val="nil"/>
              <w:bottom w:val="single" w:color="auto" w:sz="8" w:space="0"/>
              <w:right w:val="single" w:color="auto" w:sz="8" w:space="0"/>
            </w:tcBorders>
            <w:tcMar>
              <w:top w:w="0" w:type="dxa"/>
              <w:left w:w="108" w:type="dxa"/>
              <w:bottom w:w="0" w:type="dxa"/>
              <w:right w:w="108" w:type="dxa"/>
            </w:tcMar>
            <w:vAlign w:val="center"/>
          </w:tcPr>
          <w:p>
            <w:pPr>
              <w:spacing w:before="0" w:after="0" w:line="216" w:lineRule="auto"/>
            </w:pPr>
            <w:r/>
            <w:r>
              <w:rPr>
                <w:b w:val="0"/>
                <w:sz w:val="14"/>
              </w:rPr>
              <w:t>+54.87 pp</w:t>
            </w:r>
          </w:p>
        </w:tc>
        <w:tc>
          <w:tcPr>
            <w:tcW w:w="0" w:type="auto"/>
            <w:tcBorders>
              <w:top w:val="nil"/>
              <w:left w:val="nil"/>
              <w:bottom w:val="single" w:color="auto" w:sz="8" w:space="0"/>
              <w:right w:val="single" w:color="auto" w:sz="8" w:space="0"/>
            </w:tcBorders>
            <w:tcMar>
              <w:top w:w="0" w:type="dxa"/>
              <w:left w:w="108" w:type="dxa"/>
              <w:bottom w:w="0" w:type="dxa"/>
              <w:right w:w="108" w:type="dxa"/>
            </w:tcMar>
            <w:vAlign w:val="center"/>
          </w:tcPr>
          <w:p>
            <w:pPr>
              <w:spacing w:before="0" w:after="0" w:line="216" w:lineRule="auto"/>
            </w:pPr>
            <w:r/>
            <w:r>
              <w:rPr>
                <w:b w:val="0"/>
                <w:sz w:val="14"/>
              </w:rPr>
              <w:t>Performance improved by 54.87 pp week over week; currently 40.13 points below the 95.00% target.</w:t>
            </w:r>
          </w:p>
        </w:tc>
      </w:tr>
      <w:tr w14:paraId="2749E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single" w:color="auto" w:sz="8" w:space="0"/>
              <w:bottom w:val="single" w:color="auto" w:sz="8" w:space="0"/>
              <w:right w:val="single" w:color="auto" w:sz="8" w:space="0"/>
            </w:tcBorders>
            <w:shd w:val="clear" w:color="auto" w:fill="EAF2F8"/>
            <w:tcMar>
              <w:top w:w="0" w:type="dxa"/>
              <w:left w:w="108" w:type="dxa"/>
              <w:bottom w:w="0" w:type="dxa"/>
              <w:right w:w="108" w:type="dxa"/>
            </w:tcMar>
            <w:vAlign w:val="center"/>
          </w:tcPr>
          <w:p>
            <w:pPr>
              <w:spacing w:before="0" w:after="0" w:line="216" w:lineRule="auto"/>
              <w:jc w:val="center"/>
            </w:pPr>
            <w:r/>
            <w:r>
              <w:rPr>
                <w:b w:val="0"/>
                <w:sz w:val="14"/>
              </w:rPr>
              <w:t>Quality</w:t>
            </w:r>
          </w:p>
        </w:tc>
        <w:tc>
          <w:tcPr>
            <w:tcW w:w="0" w:type="auto"/>
            <w:tcBorders>
              <w:top w:val="nil"/>
              <w:left w:val="nil"/>
              <w:bottom w:val="single" w:color="auto" w:sz="8" w:space="0"/>
              <w:right w:val="single" w:color="auto" w:sz="8" w:space="0"/>
            </w:tcBorders>
            <w:tcMar>
              <w:top w:w="0" w:type="dxa"/>
              <w:left w:w="108" w:type="dxa"/>
              <w:bottom w:w="0" w:type="dxa"/>
              <w:right w:w="108" w:type="dxa"/>
            </w:tcMar>
            <w:vAlign w:val="center"/>
          </w:tcPr>
          <w:p>
            <w:pPr>
              <w:spacing w:before="0" w:after="0" w:line="216" w:lineRule="auto"/>
            </w:pPr>
            <w:r/>
            <w:r>
              <w:rPr>
                <w:b w:val="0"/>
                <w:sz w:val="14"/>
              </w:rPr>
              <w:t>0.00%</w:t>
            </w:r>
          </w:p>
        </w:tc>
        <w:tc>
          <w:tcPr>
            <w:tcW w:w="0" w:type="auto"/>
            <w:tcBorders>
              <w:top w:val="nil"/>
              <w:left w:val="nil"/>
              <w:bottom w:val="single" w:color="auto" w:sz="8" w:space="0"/>
              <w:right w:val="single" w:color="auto" w:sz="8" w:space="0"/>
            </w:tcBorders>
            <w:tcMar>
              <w:top w:w="0" w:type="dxa"/>
              <w:left w:w="108" w:type="dxa"/>
              <w:bottom w:w="0" w:type="dxa"/>
              <w:right w:w="108" w:type="dxa"/>
            </w:tcMar>
            <w:vAlign w:val="center"/>
          </w:tcPr>
          <w:p>
            <w:pPr>
              <w:spacing w:before="0" w:after="0" w:line="216" w:lineRule="auto"/>
            </w:pPr>
            <w:r/>
            <w:r>
              <w:rPr>
                <w:b w:val="0"/>
                <w:sz w:val="14"/>
              </w:rPr>
              <w:t>99.85%</w:t>
            </w:r>
          </w:p>
        </w:tc>
        <w:tc>
          <w:tcPr>
            <w:tcW w:w="0" w:type="auto"/>
            <w:tcBorders>
              <w:top w:val="nil"/>
              <w:left w:val="nil"/>
              <w:bottom w:val="single" w:color="auto" w:sz="8" w:space="0"/>
              <w:right w:val="single" w:color="auto" w:sz="8" w:space="0"/>
            </w:tcBorders>
            <w:tcMar>
              <w:top w:w="0" w:type="dxa"/>
              <w:left w:w="108" w:type="dxa"/>
              <w:bottom w:w="0" w:type="dxa"/>
              <w:right w:w="108" w:type="dxa"/>
            </w:tcMar>
            <w:vAlign w:val="center"/>
          </w:tcPr>
          <w:p>
            <w:pPr>
              <w:spacing w:before="0" w:after="0" w:line="216" w:lineRule="auto"/>
            </w:pPr>
            <w:r/>
            <w:r>
              <w:rPr>
                <w:b w:val="0"/>
                <w:sz w:val="14"/>
              </w:rPr>
              <w:t>+99.85 pp</w:t>
            </w:r>
          </w:p>
        </w:tc>
        <w:tc>
          <w:tcPr>
            <w:tcW w:w="0" w:type="auto"/>
            <w:tcBorders>
              <w:top w:val="nil"/>
              <w:left w:val="nil"/>
              <w:bottom w:val="single" w:color="auto" w:sz="8" w:space="0"/>
              <w:right w:val="single" w:color="auto" w:sz="8" w:space="0"/>
            </w:tcBorders>
            <w:tcMar>
              <w:top w:w="0" w:type="dxa"/>
              <w:left w:w="108" w:type="dxa"/>
              <w:bottom w:w="0" w:type="dxa"/>
              <w:right w:w="108" w:type="dxa"/>
            </w:tcMar>
            <w:vAlign w:val="center"/>
          </w:tcPr>
          <w:p>
            <w:pPr>
              <w:spacing w:before="0" w:after="0" w:line="216" w:lineRule="auto"/>
            </w:pPr>
            <w:r/>
            <w:r>
              <w:rPr>
                <w:b w:val="0"/>
                <w:sz w:val="14"/>
              </w:rPr>
              <w:t>Quality improved by 99.85 pp week over week; currently 0.05 points below the 99.90% target.</w:t>
            </w:r>
          </w:p>
        </w:tc>
      </w:tr>
    </w:tbl>
    <w:p>
      <w:r>
        <w:rPr>
          <w:b w:val="0"/>
          <w:i/>
          <w:sz w:val="14"/>
        </w:rPr>
        <w:t>pp = percentage points, the straight difference between two percentages (e.g. 45% to 50% is +5 pp), not a percent change.</w:t>
      </w:r>
    </w:p>
    <w:p w14:paraId="7237DBEC">
      <w:pPr>
        <w:spacing w:before="0" w:after="40" w:line="216" w:lineRule="auto"/>
      </w:pPr>
      <w:r>
        <w:rPr>
          <w:b w:val="0"/>
          <w:i/>
          <w:sz w:val="14"/>
        </w:rPr>
        <w:t>pp = percentage points, the straight difference between two percentages (e.g. 45% to 50% is +5 pp), not a percent change.</w:t>
      </w:r>
    </w:p>
    <w:p w14:paraId="7D178BB2">
      <w:pPr>
        <w:rPr>
          <w:kern w:val="2"/>
          <w:szCs w:val="18"/>
          <w:lang w:val="en-IN" w:eastAsia="en-IN"/>
          <w14:ligatures w14:val="standardContextual"/>
        </w:rPr>
      </w:pPr>
    </w:p>
    <w:p w14:paraId="35E12FBC">
      <w:pPr>
        <w:pStyle w:val="2"/>
        <w:pageBreakBefore/>
      </w:pPr>
      <w:r>
        <w:rPr>
          <w:b/>
          <w:sz w:val="30"/>
        </w:rPr>
        <w:t>2. Why OEE Is Going Down</w:t>
      </w:r>
    </w:p>
    <w:p w14:paraId="1AF11398">
      <w:pPr>
        <w:spacing w:after="100"/>
        <w:rPr>
          <w:rFonts w:asciiTheme="majorHAnsi" w:hAnsiTheme="majorHAnsi" w:cstheme="majorHAnsi"/>
          <w:sz w:val="20"/>
          <w:szCs w:val="20"/>
        </w:rPr>
      </w:pPr>
    </w:p>
    <w:tbl>
      <w:tblPr>
        <w:tblStyle w:val="35"/>
        <w:tblW w:w="1064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0"/>
        <w:gridCol w:w="2848"/>
        <w:gridCol w:w="2129"/>
        <w:gridCol w:w="2129"/>
        <w:gridCol w:w="2130"/>
      </w:tblGrid>
      <w:tr w14:paraId="42BCD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10" w:type="dxa"/>
            <w:tcBorders>
              <w:top w:val="single" w:color="FFFFFF" w:sz="6" w:space="0"/>
              <w:left w:val="single" w:color="FFFFFF" w:sz="6" w:space="0"/>
              <w:bottom w:val="single" w:color="FFFFFF" w:sz="6" w:space="0"/>
              <w:right w:val="single" w:color="FFFFFF" w:sz="6" w:space="0"/>
            </w:tcBorders>
            <w:shd w:val="clear" w:color="auto" w:fill="17365D"/>
            <w:vAlign w:val="center"/>
          </w:tcPr>
          <w:p w14:paraId="70710DF7">
            <w:pPr>
              <w:spacing w:after="0" w:line="240" w:lineRule="auto"/>
              <w:jc w:val="center"/>
              <w:rPr>
                <w:rFonts w:asciiTheme="majorHAnsi" w:hAnsiTheme="majorHAnsi" w:cstheme="majorHAnsi"/>
                <w:sz w:val="20"/>
                <w:szCs w:val="20"/>
              </w:rPr>
            </w:pPr>
            <w:r>
              <w:rPr>
                <w:rFonts w:asciiTheme="majorHAnsi" w:hAnsiTheme="majorHAnsi" w:cstheme="majorHAnsi"/>
                <w:b/>
                <w:color w:val="FFFFFF"/>
                <w:sz w:val="20"/>
                <w:szCs w:val="20"/>
              </w:rPr>
              <w:t>Rank</w:t>
            </w:r>
          </w:p>
        </w:tc>
        <w:tc>
          <w:tcPr>
            <w:tcW w:w="2848" w:type="dxa"/>
            <w:tcBorders>
              <w:top w:val="single" w:color="FFFFFF" w:sz="6" w:space="0"/>
              <w:left w:val="single" w:color="FFFFFF" w:sz="6" w:space="0"/>
              <w:bottom w:val="single" w:color="FFFFFF" w:sz="6" w:space="0"/>
              <w:right w:val="single" w:color="FFFFFF" w:sz="6" w:space="0"/>
            </w:tcBorders>
            <w:shd w:val="clear" w:color="auto" w:fill="17365D"/>
            <w:vAlign w:val="center"/>
          </w:tcPr>
          <w:p w14:paraId="3C31AE66">
            <w:pPr>
              <w:spacing w:after="0" w:line="240" w:lineRule="auto"/>
              <w:jc w:val="center"/>
              <w:rPr>
                <w:rFonts w:asciiTheme="majorHAnsi" w:hAnsiTheme="majorHAnsi" w:cstheme="majorHAnsi"/>
                <w:sz w:val="20"/>
                <w:szCs w:val="20"/>
              </w:rPr>
            </w:pPr>
            <w:r>
              <w:rPr>
                <w:rFonts w:asciiTheme="majorHAnsi" w:hAnsiTheme="majorHAnsi" w:cstheme="majorHAnsi"/>
                <w:b/>
                <w:color w:val="FFFFFF"/>
                <w:sz w:val="20"/>
                <w:szCs w:val="20"/>
              </w:rPr>
              <w:t>Fault code / parameter</w:t>
            </w:r>
          </w:p>
        </w:tc>
        <w:tc>
          <w:tcPr>
            <w:tcW w:w="2129" w:type="dxa"/>
            <w:tcBorders>
              <w:top w:val="single" w:color="FFFFFF" w:sz="6" w:space="0"/>
              <w:left w:val="single" w:color="FFFFFF" w:sz="6" w:space="0"/>
              <w:bottom w:val="single" w:color="FFFFFF" w:sz="6" w:space="0"/>
              <w:right w:val="single" w:color="FFFFFF" w:sz="6" w:space="0"/>
            </w:tcBorders>
            <w:shd w:val="clear" w:color="auto" w:fill="17365D"/>
            <w:vAlign w:val="center"/>
          </w:tcPr>
          <w:p w14:paraId="58FC47A9">
            <w:pPr>
              <w:spacing w:after="0" w:line="240" w:lineRule="auto"/>
              <w:jc w:val="center"/>
              <w:rPr>
                <w:rFonts w:asciiTheme="majorHAnsi" w:hAnsiTheme="majorHAnsi" w:cstheme="majorHAnsi"/>
                <w:sz w:val="20"/>
                <w:szCs w:val="20"/>
              </w:rPr>
            </w:pPr>
            <w:r>
              <w:rPr>
                <w:rFonts w:asciiTheme="majorHAnsi" w:hAnsiTheme="majorHAnsi" w:cstheme="majorHAnsi"/>
                <w:b/>
                <w:color w:val="FFFFFF"/>
                <w:sz w:val="20"/>
                <w:szCs w:val="20"/>
              </w:rPr>
              <w:t>Loss</w:t>
            </w:r>
          </w:p>
        </w:tc>
        <w:tc>
          <w:tcPr>
            <w:tcW w:w="2129" w:type="dxa"/>
            <w:tcBorders>
              <w:top w:val="single" w:color="FFFFFF" w:sz="6" w:space="0"/>
              <w:left w:val="single" w:color="FFFFFF" w:sz="6" w:space="0"/>
              <w:bottom w:val="single" w:color="FFFFFF" w:sz="6" w:space="0"/>
              <w:right w:val="single" w:color="FFFFFF" w:sz="6" w:space="0"/>
            </w:tcBorders>
            <w:shd w:val="clear" w:color="auto" w:fill="17365D"/>
            <w:vAlign w:val="center"/>
          </w:tcPr>
          <w:p w14:paraId="6155F89B">
            <w:pPr>
              <w:spacing w:after="0" w:line="240" w:lineRule="auto"/>
              <w:jc w:val="center"/>
              <w:rPr>
                <w:rFonts w:asciiTheme="majorHAnsi" w:hAnsiTheme="majorHAnsi" w:cstheme="majorHAnsi"/>
                <w:sz w:val="20"/>
                <w:szCs w:val="20"/>
              </w:rPr>
            </w:pPr>
            <w:r>
              <w:rPr>
                <w:rFonts w:asciiTheme="majorHAnsi" w:hAnsiTheme="majorHAnsi" w:cstheme="majorHAnsi"/>
                <w:b/>
                <w:color w:val="FFFFFF"/>
                <w:sz w:val="20"/>
                <w:szCs w:val="20"/>
              </w:rPr>
              <w:t>Insight from data</w:t>
            </w:r>
          </w:p>
        </w:tc>
        <w:tc>
          <w:tcPr>
            <w:tcW w:w="2130" w:type="dxa"/>
            <w:tcBorders>
              <w:top w:val="single" w:color="FFFFFF" w:sz="6" w:space="0"/>
              <w:left w:val="single" w:color="FFFFFF" w:sz="6" w:space="0"/>
              <w:bottom w:val="single" w:color="FFFFFF" w:sz="6" w:space="0"/>
              <w:right w:val="single" w:color="FFFFFF" w:sz="6" w:space="0"/>
            </w:tcBorders>
            <w:shd w:val="clear" w:color="auto" w:fill="17365D"/>
            <w:vAlign w:val="center"/>
          </w:tcPr>
          <w:p w14:paraId="3A2F46D3">
            <w:pPr>
              <w:spacing w:after="0" w:line="240" w:lineRule="auto"/>
              <w:jc w:val="center"/>
              <w:rPr>
                <w:rFonts w:asciiTheme="majorHAnsi" w:hAnsiTheme="majorHAnsi" w:cstheme="majorHAnsi"/>
                <w:sz w:val="20"/>
                <w:szCs w:val="20"/>
              </w:rPr>
            </w:pPr>
            <w:r>
              <w:rPr>
                <w:rFonts w:asciiTheme="majorHAnsi" w:hAnsiTheme="majorHAnsi" w:cstheme="majorHAnsi"/>
                <w:b/>
                <w:color w:val="FFFFFF"/>
                <w:sz w:val="20"/>
                <w:szCs w:val="20"/>
              </w:rPr>
              <w:t>Immediate action</w:t>
            </w:r>
          </w:p>
        </w:tc>
      </w:tr>
      <w:tr w14:paraId="3940B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0" w:type="dxa"/>
            <w:shd w:val="clear" w:color="auto" w:fill="F8CBAD"/>
            <w:vAlign w:val="center"/>
          </w:tcPr>
          <w:p>
            <w:r/>
            <w:r>
              <w:rPr>
                <w:b w:val="0"/>
                <w:sz w:val="14"/>
              </w:rPr>
              <w:t>1</w:t>
            </w:r>
          </w:p>
        </w:tc>
        <w:tc>
          <w:tcPr>
            <w:tcW w:w="2848" w:type="dxa"/>
            <w:vAlign w:val="center"/>
          </w:tcPr>
          <w:p>
            <w:r/>
            <w:r>
              <w:rPr>
                <w:b w:val="0"/>
                <w:sz w:val="14"/>
              </w:rPr>
              <w:t>Fillpac 4 Belt Not Running</w:t>
            </w:r>
          </w:p>
        </w:tc>
        <w:tc>
          <w:tcPr>
            <w:tcW w:w="2129" w:type="dxa"/>
            <w:vAlign w:val="center"/>
          </w:tcPr>
          <w:p>
            <w:r/>
            <w:r>
              <w:rPr>
                <w:b w:val="0"/>
                <w:sz w:val="14"/>
              </w:rPr>
              <w:t>178.81 min</w:t>
            </w:r>
          </w:p>
        </w:tc>
        <w:tc>
          <w:tcPr>
            <w:tcW w:w="2129" w:type="dxa"/>
            <w:vAlign w:val="center"/>
          </w:tcPr>
          <w:p>
            <w:r/>
            <w:r>
              <w:rPr>
                <w:b w:val="0"/>
                <w:sz w:val="14"/>
              </w:rPr>
              <w:t>Fillpac 4 Belt Not Running accounts for 178.81 minutes of recorded downtime.</w:t>
            </w:r>
          </w:p>
        </w:tc>
        <w:tc>
          <w:tcPr>
            <w:tcW w:w="2130" w:type="dxa"/>
            <w:vAlign w:val="center"/>
          </w:tcPr>
          <w:p>
            <w:r/>
            <w:r>
              <w:rPr>
                <w:b w:val="0"/>
                <w:sz w:val="14"/>
              </w:rPr>
              <w:t>Prioritize investigation of Fillpac 4 Belt Not Running using available production and equipment records.</w:t>
            </w:r>
          </w:p>
        </w:tc>
      </w:tr>
      <w:tr w14:paraId="1F07F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0" w:type="dxa"/>
            <w:shd w:val="clear" w:color="auto" w:fill="FFF2CC"/>
            <w:vAlign w:val="center"/>
          </w:tcPr>
          <w:p>
            <w:r/>
            <w:r>
              <w:rPr>
                <w:b w:val="0"/>
                <w:sz w:val="14"/>
              </w:rPr>
              <w:t>2</w:t>
            </w:r>
          </w:p>
        </w:tc>
        <w:tc>
          <w:tcPr>
            <w:tcW w:w="2848" w:type="dxa"/>
            <w:vAlign w:val="center"/>
          </w:tcPr>
          <w:p>
            <w:r/>
            <w:r>
              <w:rPr>
                <w:b w:val="0"/>
                <w:sz w:val="14"/>
              </w:rPr>
              <w:t>Fillpac 2 Belt Not Running</w:t>
            </w:r>
          </w:p>
        </w:tc>
        <w:tc>
          <w:tcPr>
            <w:tcW w:w="2129" w:type="dxa"/>
            <w:vAlign w:val="center"/>
          </w:tcPr>
          <w:p>
            <w:r/>
            <w:r>
              <w:rPr>
                <w:b w:val="0"/>
                <w:sz w:val="14"/>
              </w:rPr>
              <w:t>147.98 min</w:t>
            </w:r>
          </w:p>
        </w:tc>
        <w:tc>
          <w:tcPr>
            <w:tcW w:w="2129" w:type="dxa"/>
            <w:vAlign w:val="center"/>
          </w:tcPr>
          <w:p>
            <w:r/>
            <w:r>
              <w:rPr>
                <w:b w:val="0"/>
                <w:sz w:val="14"/>
              </w:rPr>
              <w:t>Fillpac 2 Belt Not Running accounts for 147.98 minutes of recorded downtime.</w:t>
            </w:r>
          </w:p>
        </w:tc>
        <w:tc>
          <w:tcPr>
            <w:tcW w:w="2130" w:type="dxa"/>
            <w:vAlign w:val="center"/>
          </w:tcPr>
          <w:p>
            <w:r/>
            <w:r>
              <w:rPr>
                <w:b w:val="0"/>
                <w:sz w:val="14"/>
              </w:rPr>
              <w:t>Prioritize investigation of Fillpac 2 Belt Not Running using available production and equipment records.</w:t>
            </w:r>
          </w:p>
        </w:tc>
      </w:tr>
      <w:tr w14:paraId="1F07F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0" w:type="dxa"/>
            <w:shd w:val="clear" w:color="auto" w:fill="FFF2CC"/>
            <w:vAlign w:val="center"/>
          </w:tcPr>
          <w:p>
            <w:r/>
            <w:r>
              <w:rPr>
                <w:b w:val="0"/>
                <w:sz w:val="14"/>
              </w:rPr>
              <w:t>3</w:t>
            </w:r>
          </w:p>
        </w:tc>
        <w:tc>
          <w:tcPr>
            <w:tcW w:w="2848" w:type="dxa"/>
            <w:vAlign w:val="center"/>
          </w:tcPr>
          <w:p>
            <w:r/>
            <w:r>
              <w:rPr>
                <w:b w:val="0"/>
                <w:sz w:val="14"/>
              </w:rPr>
              <w:t>Fillpac 1 Belt Not Running</w:t>
            </w:r>
          </w:p>
        </w:tc>
        <w:tc>
          <w:tcPr>
            <w:tcW w:w="2129" w:type="dxa"/>
            <w:vAlign w:val="center"/>
          </w:tcPr>
          <w:p>
            <w:r/>
            <w:r>
              <w:rPr>
                <w:b w:val="0"/>
                <w:sz w:val="14"/>
              </w:rPr>
              <w:t>102.21 min</w:t>
            </w:r>
          </w:p>
        </w:tc>
        <w:tc>
          <w:tcPr>
            <w:tcW w:w="2129" w:type="dxa"/>
            <w:vAlign w:val="center"/>
          </w:tcPr>
          <w:p>
            <w:r/>
            <w:r>
              <w:rPr>
                <w:b w:val="0"/>
                <w:sz w:val="14"/>
              </w:rPr>
              <w:t>Fillpac 1 Belt Not Running accounts for 102.21 minutes of recorded downtime.</w:t>
            </w:r>
          </w:p>
        </w:tc>
        <w:tc>
          <w:tcPr>
            <w:tcW w:w="2130" w:type="dxa"/>
            <w:vAlign w:val="center"/>
          </w:tcPr>
          <w:p>
            <w:r/>
            <w:r>
              <w:rPr>
                <w:b w:val="0"/>
                <w:sz w:val="14"/>
              </w:rPr>
              <w:t>Prioritize investigation of Fillpac 1 Belt Not Running using available production and equipment records.</w:t>
            </w:r>
          </w:p>
        </w:tc>
      </w:tr>
      <w:tr w14:paraId="1F07F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0" w:type="dxa"/>
            <w:shd w:val="clear" w:color="auto" w:fill="FFF2CC"/>
            <w:vAlign w:val="center"/>
          </w:tcPr>
          <w:p>
            <w:r/>
            <w:r>
              <w:rPr>
                <w:b w:val="0"/>
                <w:sz w:val="14"/>
              </w:rPr>
              <w:t>4</w:t>
            </w:r>
          </w:p>
        </w:tc>
        <w:tc>
          <w:tcPr>
            <w:tcW w:w="2848" w:type="dxa"/>
            <w:vAlign w:val="center"/>
          </w:tcPr>
          <w:p>
            <w:r/>
            <w:r>
              <w:rPr>
                <w:b w:val="0"/>
                <w:sz w:val="14"/>
              </w:rPr>
              <w:t>Fillpac 4 Main Drive Stop</w:t>
            </w:r>
          </w:p>
        </w:tc>
        <w:tc>
          <w:tcPr>
            <w:tcW w:w="2129" w:type="dxa"/>
            <w:vAlign w:val="center"/>
          </w:tcPr>
          <w:p>
            <w:r/>
            <w:r>
              <w:rPr>
                <w:b w:val="0"/>
                <w:sz w:val="14"/>
              </w:rPr>
              <w:t>15.97 min</w:t>
            </w:r>
          </w:p>
        </w:tc>
        <w:tc>
          <w:tcPr>
            <w:tcW w:w="2129" w:type="dxa"/>
            <w:vAlign w:val="center"/>
          </w:tcPr>
          <w:p>
            <w:r/>
            <w:r>
              <w:rPr>
                <w:b w:val="0"/>
                <w:sz w:val="14"/>
              </w:rPr>
              <w:t>Fillpac 4 Main Drive Stop accounts for 15.97 minutes of recorded downtime.</w:t>
            </w:r>
          </w:p>
        </w:tc>
        <w:tc>
          <w:tcPr>
            <w:tcW w:w="2130" w:type="dxa"/>
            <w:vAlign w:val="center"/>
          </w:tcPr>
          <w:p>
            <w:r/>
            <w:r>
              <w:rPr>
                <w:b w:val="0"/>
                <w:sz w:val="14"/>
              </w:rPr>
              <w:t>Prioritize investigation of Fillpac 4 Main Drive Stop using available production and equipment records.</w:t>
            </w:r>
          </w:p>
        </w:tc>
      </w:tr>
      <w:tr w14:paraId="0E3E2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46" w:type="dxa"/>
            <w:gridSpan w:val="5"/>
            <w:tcBorders>
              <w:top w:val="single" w:color="C00000" w:sz="14" w:space="0"/>
              <w:left w:val="single" w:color="C00000" w:sz="14" w:space="0"/>
              <w:bottom w:val="single" w:color="C00000" w:sz="14" w:space="0"/>
              <w:right w:val="single" w:color="C00000" w:sz="14" w:space="0"/>
            </w:tcBorders>
            <w:shd w:val="clear" w:color="auto" w:fill="FCE4D6"/>
          </w:tcPr>
          <w:p>
            <w:r/>
            <w:r>
              <w:rPr>
                <w:b w:val="0"/>
                <w:sz w:val="16"/>
              </w:rPr>
              <w:t>Decision point</w:t>
              <w:br/>
              <w:t>Prioritize investigation of the largest supplied downtime driver, Fillpac 4 Belt Not Running.</w:t>
            </w:r>
          </w:p>
        </w:tc>
      </w:tr>
    </w:tbl>
    <w:p w14:paraId="26820D6F">
      <w:pPr>
        <w:pStyle w:val="2"/>
        <w:rPr>
          <w:kern w:val="36"/>
          <w:szCs w:val="30"/>
          <w:lang w:val="en-IN" w:eastAsia="en-IN"/>
          <w14:ligatures w14:val="standardContextual"/>
        </w:rPr>
      </w:pPr>
      <w:r>
        <w:rPr>
          <w:b w:val="0"/>
          <w:sz w:val="18"/>
        </w:rPr>
        <w:t>Fillpac 4 Belt Not Running accounts for 178.81 minutes of classified downtime, representing 37.91% of total classified downtime.</w:t>
      </w:r>
    </w:p>
    <w:p w14:paraId="04D107EC">
      <w:pPr>
        <w:spacing w:after="100"/>
        <w:rPr>
          <w:kern w:val="2"/>
          <w:szCs w:val="18"/>
          <w:lang w:val="en-IN" w:eastAsia="en-IN"/>
          <w14:ligatures w14:val="standardContextual"/>
        </w:rPr>
      </w:pPr>
      <w:r>
        <w:rPr>
          <w:b w:val="0"/>
          <w:sz w:val="18"/>
        </w:rPr>
        <w:t>Shift changeover delay is a controllable availability loss. Week 10 data show delay time during handover and start-up stabilization.</w:t>
      </w:r>
    </w:p>
    <w:tbl>
      <w:tblPr>
        <w:tblStyle w:val="35"/>
        <w:tblW w:w="0" w:type="auto"/>
        <w:tblInd w:w="204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398"/>
        <w:gridCol w:w="1798"/>
      </w:tblGrid>
      <w:tr w14:paraId="37951E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2398" w:type="dxa"/>
            <w:tcBorders>
              <w:top w:val="single" w:color="FFFFFF" w:sz="8" w:space="0"/>
              <w:left w:val="single" w:color="FFFFFF" w:sz="8" w:space="0"/>
              <w:bottom w:val="single" w:color="FFFFFF" w:sz="8" w:space="0"/>
              <w:right w:val="single" w:color="FFFFFF" w:sz="8" w:space="0"/>
            </w:tcBorders>
            <w:shd w:val="clear" w:color="auto" w:fill="17365D"/>
            <w:tcMar>
              <w:top w:w="0" w:type="dxa"/>
              <w:left w:w="108" w:type="dxa"/>
              <w:bottom w:w="0" w:type="dxa"/>
              <w:right w:w="108" w:type="dxa"/>
            </w:tcMar>
            <w:vAlign w:val="center"/>
          </w:tcPr>
          <w:p w14:paraId="55E076F4">
            <w:pPr>
              <w:spacing w:after="0" w:line="240" w:lineRule="auto"/>
              <w:jc w:val="center"/>
              <w:rPr>
                <w:kern w:val="2"/>
                <w:szCs w:val="18"/>
                <w:lang w:val="en-IN" w:eastAsia="en-IN"/>
                <w14:ligatures w14:val="standardContextual"/>
              </w:rPr>
            </w:pPr>
            <w:r>
              <w:rPr>
                <w:rFonts w:ascii="Calibri" w:hAnsi="Calibri" w:cs="Calibri"/>
                <w:b/>
                <w:bCs/>
                <w:color w:val="FFFFFF"/>
                <w:sz w:val="20"/>
                <w:szCs w:val="20"/>
              </w:rPr>
              <w:t>Shift changeover</w:t>
            </w:r>
          </w:p>
        </w:tc>
        <w:tc>
          <w:tcPr>
            <w:tcW w:w="1798" w:type="dxa"/>
            <w:tcBorders>
              <w:top w:val="single" w:color="FFFFFF" w:sz="8" w:space="0"/>
              <w:left w:val="nil"/>
              <w:bottom w:val="single" w:color="FFFFFF" w:sz="8" w:space="0"/>
              <w:right w:val="single" w:color="FFFFFF" w:sz="8" w:space="0"/>
            </w:tcBorders>
            <w:shd w:val="clear" w:color="auto" w:fill="17365D"/>
            <w:tcMar>
              <w:top w:w="0" w:type="dxa"/>
              <w:left w:w="108" w:type="dxa"/>
              <w:bottom w:w="0" w:type="dxa"/>
              <w:right w:w="108" w:type="dxa"/>
            </w:tcMar>
            <w:vAlign w:val="center"/>
          </w:tcPr>
          <w:p w14:paraId="1F404E8D">
            <w:pPr>
              <w:spacing w:after="0" w:line="240" w:lineRule="auto"/>
              <w:jc w:val="center"/>
            </w:pPr>
            <w:r>
              <w:rPr>
                <w:rFonts w:ascii="Calibri" w:hAnsi="Calibri" w:cs="Calibri"/>
                <w:b/>
                <w:bCs/>
                <w:color w:val="FFFFFF"/>
                <w:sz w:val="20"/>
                <w:szCs w:val="20"/>
              </w:rPr>
              <w:t>Delay time</w:t>
            </w:r>
          </w:p>
        </w:tc>
      </w:tr>
      <w:tr w14:paraId="341FA6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single" w:color="auto" w:sz="8" w:space="0"/>
              <w:bottom w:val="single" w:color="auto" w:sz="8" w:space="0"/>
              <w:right w:val="single" w:color="auto" w:sz="8" w:space="0"/>
            </w:tcBorders>
            <w:shd w:val="clear" w:color="auto" w:fill="EAF2F8"/>
            <w:tcMar>
              <w:top w:w="0" w:type="dxa"/>
              <w:left w:w="108" w:type="dxa"/>
              <w:bottom w:w="0" w:type="dxa"/>
              <w:right w:w="108" w:type="dxa"/>
            </w:tcMar>
            <w:vAlign w:val="center"/>
          </w:tcPr>
          <w:p>
            <w:r/>
            <w:r>
              <w:rPr>
                <w:b w:val="0"/>
                <w:sz w:val="16"/>
              </w:rPr>
              <w:t>Shift A Changeover Delay</w:t>
            </w:r>
          </w:p>
        </w:tc>
        <w:tc>
          <w:tcPr>
            <w:tcW w:w="0" w:type="auto"/>
            <w:tcBorders>
              <w:top w:val="nil"/>
              <w:left w:val="nil"/>
              <w:bottom w:val="single" w:color="auto" w:sz="8" w:space="0"/>
              <w:right w:val="single" w:color="auto" w:sz="8" w:space="0"/>
            </w:tcBorders>
            <w:tcMar>
              <w:top w:w="0" w:type="dxa"/>
              <w:left w:w="108" w:type="dxa"/>
              <w:bottom w:w="0" w:type="dxa"/>
              <w:right w:w="108" w:type="dxa"/>
            </w:tcMar>
            <w:vAlign w:val="center"/>
          </w:tcPr>
          <w:p>
            <w:r/>
            <w:r>
              <w:rPr>
                <w:b w:val="0"/>
                <w:sz w:val="16"/>
              </w:rPr>
              <w:t>0.00 min</w:t>
            </w:r>
          </w:p>
        </w:tc>
      </w:tr>
      <w:tr w14:paraId="6B90D1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single" w:color="auto" w:sz="8" w:space="0"/>
              <w:bottom w:val="single" w:color="auto" w:sz="8" w:space="0"/>
              <w:right w:val="single" w:color="auto" w:sz="8" w:space="0"/>
            </w:tcBorders>
            <w:shd w:val="clear" w:color="auto" w:fill="EAF2F8"/>
            <w:tcMar>
              <w:top w:w="0" w:type="dxa"/>
              <w:left w:w="108" w:type="dxa"/>
              <w:bottom w:w="0" w:type="dxa"/>
              <w:right w:w="108" w:type="dxa"/>
            </w:tcMar>
            <w:vAlign w:val="center"/>
          </w:tcPr>
          <w:p>
            <w:r/>
            <w:r>
              <w:rPr>
                <w:b w:val="0"/>
                <w:sz w:val="16"/>
              </w:rPr>
              <w:t>Shift B Changeover Delay</w:t>
            </w:r>
          </w:p>
        </w:tc>
        <w:tc>
          <w:tcPr>
            <w:tcW w:w="0" w:type="auto"/>
            <w:tcBorders>
              <w:top w:val="nil"/>
              <w:left w:val="nil"/>
              <w:bottom w:val="single" w:color="auto" w:sz="8" w:space="0"/>
              <w:right w:val="single" w:color="auto" w:sz="8" w:space="0"/>
            </w:tcBorders>
            <w:tcMar>
              <w:top w:w="0" w:type="dxa"/>
              <w:left w:w="108" w:type="dxa"/>
              <w:bottom w:w="0" w:type="dxa"/>
              <w:right w:w="108" w:type="dxa"/>
            </w:tcMar>
            <w:vAlign w:val="center"/>
          </w:tcPr>
          <w:p>
            <w:r/>
            <w:r>
              <w:rPr>
                <w:b w:val="0"/>
                <w:sz w:val="16"/>
              </w:rPr>
              <w:t>0.00 min</w:t>
            </w:r>
          </w:p>
        </w:tc>
      </w:tr>
      <w:tr w14:paraId="3AB51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single" w:color="auto" w:sz="8" w:space="0"/>
              <w:bottom w:val="single" w:color="auto" w:sz="8" w:space="0"/>
              <w:right w:val="single" w:color="auto" w:sz="8" w:space="0"/>
            </w:tcBorders>
            <w:shd w:val="clear" w:color="auto" w:fill="EAF2F8"/>
            <w:tcMar>
              <w:top w:w="0" w:type="dxa"/>
              <w:left w:w="108" w:type="dxa"/>
              <w:bottom w:w="0" w:type="dxa"/>
              <w:right w:w="108" w:type="dxa"/>
            </w:tcMar>
            <w:vAlign w:val="center"/>
          </w:tcPr>
          <w:p>
            <w:r/>
            <w:r>
              <w:rPr>
                <w:b w:val="0"/>
                <w:sz w:val="16"/>
              </w:rPr>
              <w:t>Shift C Changeover Delay</w:t>
            </w:r>
          </w:p>
        </w:tc>
        <w:tc>
          <w:tcPr>
            <w:tcW w:w="0" w:type="auto"/>
            <w:tcBorders>
              <w:top w:val="nil"/>
              <w:left w:val="nil"/>
              <w:bottom w:val="single" w:color="auto" w:sz="8" w:space="0"/>
              <w:right w:val="single" w:color="auto" w:sz="8" w:space="0"/>
            </w:tcBorders>
            <w:tcMar>
              <w:top w:w="0" w:type="dxa"/>
              <w:left w:w="108" w:type="dxa"/>
              <w:bottom w:w="0" w:type="dxa"/>
              <w:right w:w="108" w:type="dxa"/>
            </w:tcMar>
            <w:vAlign w:val="center"/>
          </w:tcPr>
          <w:p>
            <w:r/>
            <w:r>
              <w:rPr>
                <w:b w:val="0"/>
                <w:sz w:val="16"/>
              </w:rPr>
              <w:t>207.03 min</w:t>
            </w:r>
          </w:p>
        </w:tc>
      </w:tr>
      <w:tr w14:paraId="61375E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single" w:color="auto" w:sz="8" w:space="0"/>
              <w:bottom w:val="single" w:color="auto" w:sz="8" w:space="0"/>
              <w:right w:val="single" w:color="auto" w:sz="8" w:space="0"/>
            </w:tcBorders>
            <w:shd w:val="clear" w:color="auto" w:fill="FCE4D6"/>
            <w:tcMar>
              <w:top w:w="0" w:type="dxa"/>
              <w:left w:w="108" w:type="dxa"/>
              <w:bottom w:w="0" w:type="dxa"/>
              <w:right w:w="108" w:type="dxa"/>
            </w:tcMar>
            <w:vAlign w:val="center"/>
          </w:tcPr>
          <w:p>
            <w:r/>
            <w:r>
              <w:rPr>
                <w:b w:val="0"/>
                <w:sz w:val="16"/>
              </w:rPr>
              <w:t>Total Week 10 delay</w:t>
            </w:r>
          </w:p>
        </w:tc>
        <w:tc>
          <w:tcPr>
            <w:tcW w:w="0" w:type="auto"/>
            <w:tcBorders>
              <w:top w:val="nil"/>
              <w:left w:val="nil"/>
              <w:bottom w:val="single" w:color="auto" w:sz="8" w:space="0"/>
              <w:right w:val="single" w:color="auto" w:sz="8" w:space="0"/>
            </w:tcBorders>
            <w:shd w:val="clear" w:color="auto" w:fill="FCE4D6"/>
            <w:tcMar>
              <w:top w:w="0" w:type="dxa"/>
              <w:left w:w="108" w:type="dxa"/>
              <w:bottom w:w="0" w:type="dxa"/>
              <w:right w:w="108" w:type="dxa"/>
            </w:tcMar>
            <w:vAlign w:val="center"/>
          </w:tcPr>
          <w:p>
            <w:r/>
            <w:r>
              <w:rPr>
                <w:b w:val="0"/>
                <w:sz w:val="16"/>
              </w:rPr>
              <w:t>207.03 min</w:t>
            </w:r>
          </w:p>
        </w:tc>
      </w:tr>
    </w:tbl>
    <w:p w14:paraId="21348B6B">
      <w:pPr>
        <w:rPr>
          <w:kern w:val="2"/>
          <w:szCs w:val="18"/>
          <w:lang w:val="en-IN" w:eastAsia="en-IN"/>
          <w14:ligatures w14:val="standardContextual"/>
        </w:rPr>
      </w:pPr>
    </w:p>
    <w:p w14:paraId="02703B90">
      <w:pPr>
        <w:rPr>
          <w:rFonts w:asciiTheme="majorHAnsi" w:hAnsiTheme="majorHAnsi" w:cstheme="majorHAnsi"/>
          <w:sz w:val="20"/>
          <w:szCs w:val="20"/>
        </w:rPr>
      </w:pPr>
      <w:r>
        <w:rPr>
          <w:rFonts w:asciiTheme="majorHAnsi" w:hAnsiTheme="majorHAnsi" w:cstheme="majorHAnsi"/>
          <w:sz w:val="20"/>
          <w:szCs w:val="20"/>
        </w:rPr>
        <w:br w:type="page"/>
      </w:r>
    </w:p>
    <w:p>
      <w:r>
        <w:rPr>
          <w:b/>
          <w:sz w:val="22"/>
        </w:rPr>
        <w:t>2.2 Spout Downtime by Machine - Week 10</w:t>
      </w:r>
    </w:p>
    <w:p>
      <w:r>
        <w:rPr>
          <w:b w:val="0"/>
          <w:sz w:val="18"/>
        </w:rPr>
        <w:t>Spout-level downtime highlights which individual spouts are driving each machine's Spout Fault minutes, so maintenance can target the specific spouts responsible rather than the machine as a whole.</w:t>
      </w:r>
    </w:p>
    <w:p>
      <w:r>
        <w:rPr>
          <w:b/>
          <w:sz w:val="18"/>
        </w:rPr>
        <w:t>Fillpac 1 (PLC_01)</w:t>
      </w:r>
    </w:p>
    <w:p>
      <w:r>
        <w:drawing>
          <wp:inline xmlns:a="http://schemas.openxmlformats.org/drawingml/2006/main" xmlns:pic="http://schemas.openxmlformats.org/drawingml/2006/picture">
            <wp:extent cx="5500000" cy="2176889"/>
            <wp:docPr id="1421391289" name="Picture 1421391289"/>
            <wp:cNvGraphicFramePr>
              <a:graphicFrameLocks noChangeAspect="1"/>
            </wp:cNvGraphicFramePr>
            <a:graphic>
              <a:graphicData uri="http://schemas.openxmlformats.org/drawingml/2006/picture">
                <pic:pic>
                  <pic:nvPicPr>
                    <pic:cNvPr id="0" name="spout_downtime_plc_01.png"/>
                    <pic:cNvPicPr/>
                  </pic:nvPicPr>
                  <pic:blipFill>
                    <a:blip r:embed="rId17"/>
                    <a:stretch>
                      <a:fillRect/>
                    </a:stretch>
                  </pic:blipFill>
                  <pic:spPr>
                    <a:xfrm>
                      <a:off x="0" y="0"/>
                      <a:ext cx="5500000" cy="2176889"/>
                    </a:xfrm>
                    <a:prstGeom prst="rect"/>
                  </pic:spPr>
                </pic:pic>
              </a:graphicData>
            </a:graphic>
          </wp:inline>
        </w:drawing>
      </w:r>
    </w:p>
    <w:p>
      <w:r>
        <w:rPr>
          <w:b/>
          <w:sz w:val="18"/>
        </w:rPr>
        <w:t>Fillpac 2 (PLC_02)</w:t>
      </w:r>
    </w:p>
    <w:p>
      <w:r>
        <w:drawing>
          <wp:inline xmlns:a="http://schemas.openxmlformats.org/drawingml/2006/main" xmlns:pic="http://schemas.openxmlformats.org/drawingml/2006/picture">
            <wp:extent cx="5500000" cy="2176151"/>
            <wp:docPr id="1421391290" name="Picture 1421391290"/>
            <wp:cNvGraphicFramePr>
              <a:graphicFrameLocks noChangeAspect="1"/>
            </wp:cNvGraphicFramePr>
            <a:graphic>
              <a:graphicData uri="http://schemas.openxmlformats.org/drawingml/2006/picture">
                <pic:pic>
                  <pic:nvPicPr>
                    <pic:cNvPr id="0" name="spout_downtime_plc_02.png"/>
                    <pic:cNvPicPr/>
                  </pic:nvPicPr>
                  <pic:blipFill>
                    <a:blip r:embed="rId18"/>
                    <a:stretch>
                      <a:fillRect/>
                    </a:stretch>
                  </pic:blipFill>
                  <pic:spPr>
                    <a:xfrm>
                      <a:off x="0" y="0"/>
                      <a:ext cx="5500000" cy="2176151"/>
                    </a:xfrm>
                    <a:prstGeom prst="rect"/>
                  </pic:spPr>
                </pic:pic>
              </a:graphicData>
            </a:graphic>
          </wp:inline>
        </w:drawing>
      </w:r>
    </w:p>
    <w:p>
      <w:r>
        <w:rPr>
          <w:b/>
          <w:sz w:val="18"/>
        </w:rPr>
        <w:t>Fillpac 3 (PLC_03)</w:t>
      </w:r>
    </w:p>
    <w:p>
      <w:r>
        <w:drawing>
          <wp:inline xmlns:a="http://schemas.openxmlformats.org/drawingml/2006/main" xmlns:pic="http://schemas.openxmlformats.org/drawingml/2006/picture">
            <wp:extent cx="5500000" cy="2176151"/>
            <wp:docPr id="1421391291" name="Picture 1421391291"/>
            <wp:cNvGraphicFramePr>
              <a:graphicFrameLocks noChangeAspect="1"/>
            </wp:cNvGraphicFramePr>
            <a:graphic>
              <a:graphicData uri="http://schemas.openxmlformats.org/drawingml/2006/picture">
                <pic:pic>
                  <pic:nvPicPr>
                    <pic:cNvPr id="0" name="spout_downtime_plc_03.png"/>
                    <pic:cNvPicPr/>
                  </pic:nvPicPr>
                  <pic:blipFill>
                    <a:blip r:embed="rId19"/>
                    <a:stretch>
                      <a:fillRect/>
                    </a:stretch>
                  </pic:blipFill>
                  <pic:spPr>
                    <a:xfrm>
                      <a:off x="0" y="0"/>
                      <a:ext cx="5500000" cy="2176151"/>
                    </a:xfrm>
                    <a:prstGeom prst="rect"/>
                  </pic:spPr>
                </pic:pic>
              </a:graphicData>
            </a:graphic>
          </wp:inline>
        </w:drawing>
      </w:r>
    </w:p>
    <w:p>
      <w:r>
        <w:rPr>
          <w:b/>
          <w:sz w:val="18"/>
        </w:rPr>
        <w:t>Fillpac 4 (PLC_04)</w:t>
      </w:r>
    </w:p>
    <w:p>
      <w:r>
        <w:drawing>
          <wp:inline xmlns:a="http://schemas.openxmlformats.org/drawingml/2006/main" xmlns:pic="http://schemas.openxmlformats.org/drawingml/2006/picture">
            <wp:extent cx="5500000" cy="2722222"/>
            <wp:docPr id="1421391292" name="Picture 1421391292"/>
            <wp:cNvGraphicFramePr>
              <a:graphicFrameLocks noChangeAspect="1"/>
            </wp:cNvGraphicFramePr>
            <a:graphic>
              <a:graphicData uri="http://schemas.openxmlformats.org/drawingml/2006/picture">
                <pic:pic>
                  <pic:nvPicPr>
                    <pic:cNvPr id="0" name="spout_downtime_plc_04.png"/>
                    <pic:cNvPicPr/>
                  </pic:nvPicPr>
                  <pic:blipFill>
                    <a:blip r:embed="rId20"/>
                    <a:stretch>
                      <a:fillRect/>
                    </a:stretch>
                  </pic:blipFill>
                  <pic:spPr>
                    <a:xfrm>
                      <a:off x="0" y="0"/>
                      <a:ext cx="5500000" cy="2722222"/>
                    </a:xfrm>
                    <a:prstGeom prst="rect"/>
                  </pic:spPr>
                </pic:pic>
              </a:graphicData>
            </a:graphic>
          </wp:inline>
        </w:drawing>
      </w:r>
    </w:p>
    <w:p w14:paraId="26A9C33A">
      <w:pPr>
        <w:pStyle w:val="2"/>
        <w:pageBreakBefore/>
      </w:pPr>
      <w:r>
        <w:rPr>
          <w:b/>
          <w:sz w:val="30"/>
        </w:rPr>
        <w:t>3. Quality, Fault Risk and Improvement Opportunity</w:t>
      </w:r>
    </w:p>
    <w:p w14:paraId="59B35F96">
      <w:pPr>
        <w:spacing w:after="100"/>
        <w:rPr>
          <w:rFonts w:asciiTheme="majorHAnsi" w:hAnsiTheme="majorHAnsi" w:cstheme="majorHAnsi"/>
          <w:sz w:val="20"/>
          <w:szCs w:val="20"/>
        </w:rPr>
      </w:pPr>
      <w:r>
        <w:rPr>
          <w:b w:val="0"/>
          <w:sz w:val="18"/>
        </w:rPr>
        <w:t>The total bad bags are 53 bags, representing a quality loss of 0.15%. The largest contributor to this loss is Burst Bags at 53 bags (100.00% of recorded quality loss).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7"/>
        <w:gridCol w:w="2548"/>
        <w:gridCol w:w="1159"/>
        <w:gridCol w:w="447"/>
        <w:gridCol w:w="2550"/>
        <w:gridCol w:w="2121"/>
      </w:tblGrid>
      <w:tr w14:paraId="326A7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5637" w:type="dxa"/>
          <w:jc w:val="center"/>
        </w:trPr>
        <w:tc>
          <w:tcPr>
            <w:tcW w:w="5009" w:type="dxa"/>
            <w:gridSpan w:val="3"/>
            <w:shd w:val="clear" w:color="auto" w:fill="D9EAF7"/>
            <w:vAlign w:val="center"/>
          </w:tcPr>
          <w:p w14:paraId="5166F454">
            <w:pPr>
              <w:spacing w:after="0" w:line="240" w:lineRule="auto"/>
              <w:jc w:val="center"/>
              <w:rPr>
                <w:rFonts w:asciiTheme="majorHAnsi" w:hAnsiTheme="majorHAnsi" w:cstheme="majorHAnsi"/>
                <w:sz w:val="20"/>
                <w:szCs w:val="20"/>
              </w:rPr>
            </w:pPr>
            <w:r>
              <w:rPr>
                <w:rFonts w:asciiTheme="majorHAnsi" w:hAnsiTheme="majorHAnsi" w:cstheme="majorHAnsi"/>
                <w:b/>
                <w:color w:val="17365D"/>
                <w:sz w:val="20"/>
                <w:szCs w:val="20"/>
              </w:rPr>
              <w:t>Quality Loss Mix</w:t>
            </w:r>
          </w:p>
        </w:tc>
      </w:tr>
      <w:tr w14:paraId="2310D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5637" w:type="dxa"/>
          <w:jc w:val="center"/>
        </w:trPr>
        <w:tc>
          <w:tcPr>
            <w:tcW w:w="5009" w:type="dxa"/>
            <w:gridSpan w:val="3"/>
          </w:tcPr>
          <w:p w14:paraId="38D616BB">
            <w:pPr>
              <w:spacing w:after="0" w:line="240" w:lineRule="auto"/>
              <w:rPr>
                <w:rFonts w:asciiTheme="majorHAnsi" w:hAnsiTheme="majorHAnsi" w:cstheme="majorHAnsi"/>
                <w:sz w:val="20"/>
                <w:szCs w:val="20"/>
              </w:rPr>
            </w:pPr>
            <w:r>
              <w:drawing>
                <wp:inline distT="0" distB="0" distL="114300" distR="114300">
                  <wp:extent cx="3403600" cy="2075180"/>
                  <wp:effectExtent l="0" t="0" r="0" b="0"/>
                  <wp:docPr id="1421391286" name="Picture 1421391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91286" name="Picture 1421391286"/>
                          <pic:cNvPicPr>
                            <a:picLocks noChangeAspect="1"/>
                          </pic:cNvPicPr>
                        </pic:nvPicPr>
                        <pic:blipFill>
                          <a:blip r:embed="rId12"/>
                          <a:stretch>
                            <a:fillRect/>
                          </a:stretch>
                        </pic:blipFill>
                        <pic:spPr>
                          <a:xfrm>
                            <a:off x="0" y="0"/>
                            <a:ext cx="3404201" cy="2075216"/>
                          </a:xfrm>
                          <a:prstGeom prst="rect">
                            <a:avLst/>
                          </a:prstGeom>
                        </pic:spPr>
                      </pic:pic>
                    </a:graphicData>
                  </a:graphic>
                </wp:inline>
              </w:drawing>
            </w:r>
          </w:p>
        </w:tc>
      </w:tr>
      <w:tr w14:paraId="71EA9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38" w:type="dxa"/>
            <w:tcBorders>
              <w:top w:val="single" w:color="FFFFFF" w:sz="6" w:space="0"/>
              <w:left w:val="single" w:color="FFFFFF" w:sz="6" w:space="0"/>
              <w:bottom w:val="single" w:color="FFFFFF" w:sz="6" w:space="0"/>
              <w:right w:val="single" w:color="FFFFFF" w:sz="6" w:space="0"/>
            </w:tcBorders>
            <w:shd w:val="clear" w:color="auto" w:fill="17365D"/>
            <w:vAlign w:val="center"/>
          </w:tcPr>
          <w:p w14:paraId="595A9B52">
            <w:pPr>
              <w:spacing w:after="0" w:line="240" w:lineRule="auto"/>
              <w:jc w:val="center"/>
              <w:rPr>
                <w:rFonts w:asciiTheme="majorHAnsi" w:hAnsiTheme="majorHAnsi" w:cstheme="majorHAnsi"/>
                <w:sz w:val="20"/>
                <w:szCs w:val="20"/>
              </w:rPr>
            </w:pPr>
            <w:r>
              <w:rPr>
                <w:rFonts w:asciiTheme="majorHAnsi" w:hAnsiTheme="majorHAnsi" w:cstheme="majorHAnsi"/>
                <w:b/>
                <w:color w:val="FFFFFF"/>
                <w:sz w:val="20"/>
                <w:szCs w:val="20"/>
              </w:rPr>
              <w:t>Code</w:t>
            </w:r>
          </w:p>
        </w:tc>
        <w:tc>
          <w:tcPr>
            <w:tcW w:w="1985" w:type="dxa"/>
            <w:tcBorders>
              <w:top w:val="single" w:color="FFFFFF" w:sz="6" w:space="0"/>
              <w:left w:val="single" w:color="FFFFFF" w:sz="6" w:space="0"/>
              <w:bottom w:val="single" w:color="FFFFFF" w:sz="6" w:space="0"/>
              <w:right w:val="single" w:color="FFFFFF" w:sz="6" w:space="0"/>
            </w:tcBorders>
            <w:shd w:val="clear" w:color="auto" w:fill="17365D"/>
            <w:vAlign w:val="center"/>
          </w:tcPr>
          <w:p w14:paraId="04057BA0">
            <w:pPr>
              <w:spacing w:after="0" w:line="240" w:lineRule="auto"/>
              <w:jc w:val="center"/>
              <w:rPr>
                <w:rFonts w:asciiTheme="majorHAnsi" w:hAnsiTheme="majorHAnsi" w:cstheme="majorHAnsi"/>
                <w:sz w:val="20"/>
                <w:szCs w:val="20"/>
              </w:rPr>
            </w:pPr>
            <w:r>
              <w:rPr>
                <w:rFonts w:asciiTheme="majorHAnsi" w:hAnsiTheme="majorHAnsi" w:cstheme="majorHAnsi"/>
                <w:b/>
                <w:color w:val="FFFFFF"/>
                <w:sz w:val="20"/>
                <w:szCs w:val="20"/>
              </w:rPr>
              <w:t>Parameter</w:t>
            </w:r>
          </w:p>
        </w:tc>
        <w:tc>
          <w:tcPr>
            <w:tcW w:w="1701" w:type="dxa"/>
            <w:gridSpan w:val="2"/>
            <w:tcBorders>
              <w:top w:val="single" w:color="FFFFFF" w:sz="6" w:space="0"/>
              <w:left w:val="single" w:color="FFFFFF" w:sz="6" w:space="0"/>
              <w:bottom w:val="single" w:color="FFFFFF" w:sz="6" w:space="0"/>
              <w:right w:val="single" w:color="FFFFFF" w:sz="6" w:space="0"/>
            </w:tcBorders>
            <w:shd w:val="clear" w:color="auto" w:fill="17365D"/>
            <w:vAlign w:val="center"/>
          </w:tcPr>
          <w:p w14:paraId="4BD8FDEC">
            <w:pPr>
              <w:spacing w:after="0" w:line="240" w:lineRule="auto"/>
            </w:pPr>
            <w:r>
              <w:rPr>
                <w:b/>
                <w:sz w:val="16"/>
              </w:rPr>
              <w:t>Quantity</w:t>
            </w:r>
          </w:p>
        </w:tc>
        <w:tc>
          <w:tcPr>
            <w:tcW w:w="2808" w:type="dxa"/>
            <w:tcBorders>
              <w:top w:val="single" w:color="FFFFFF" w:sz="6" w:space="0"/>
              <w:left w:val="single" w:color="FFFFFF" w:sz="6" w:space="0"/>
              <w:bottom w:val="single" w:color="FFFFFF" w:sz="6" w:space="0"/>
              <w:right w:val="single" w:color="FFFFFF" w:sz="6" w:space="0"/>
            </w:tcBorders>
            <w:shd w:val="clear" w:color="auto" w:fill="17365D"/>
            <w:vAlign w:val="center"/>
          </w:tcPr>
          <w:p w14:paraId="5FDD0D29">
            <w:pPr>
              <w:spacing w:after="0" w:line="240" w:lineRule="auto"/>
              <w:jc w:val="center"/>
              <w:rPr>
                <w:rFonts w:asciiTheme="majorHAnsi" w:hAnsiTheme="majorHAnsi" w:cstheme="majorHAnsi"/>
                <w:sz w:val="20"/>
                <w:szCs w:val="20"/>
              </w:rPr>
            </w:pPr>
            <w:r>
              <w:rPr>
                <w:rFonts w:asciiTheme="majorHAnsi" w:hAnsiTheme="majorHAnsi" w:cstheme="majorHAnsi"/>
                <w:b/>
                <w:color w:val="FFFFFF"/>
                <w:sz w:val="20"/>
                <w:szCs w:val="20"/>
              </w:rPr>
              <w:t>What it means</w:t>
            </w:r>
          </w:p>
        </w:tc>
        <w:tc>
          <w:tcPr>
            <w:tcW w:w="2314" w:type="dxa"/>
            <w:tcBorders>
              <w:top w:val="single" w:color="FFFFFF" w:sz="6" w:space="0"/>
              <w:left w:val="single" w:color="FFFFFF" w:sz="6" w:space="0"/>
              <w:bottom w:val="single" w:color="FFFFFF" w:sz="6" w:space="0"/>
              <w:right w:val="single" w:color="FFFFFF" w:sz="6" w:space="0"/>
            </w:tcBorders>
            <w:shd w:val="clear" w:color="auto" w:fill="17365D"/>
            <w:vAlign w:val="center"/>
          </w:tcPr>
          <w:p w14:paraId="3E4ED914">
            <w:pPr>
              <w:spacing w:after="0" w:line="240" w:lineRule="auto"/>
              <w:jc w:val="center"/>
              <w:rPr>
                <w:rFonts w:asciiTheme="majorHAnsi" w:hAnsiTheme="majorHAnsi" w:cstheme="majorHAnsi"/>
                <w:sz w:val="20"/>
                <w:szCs w:val="20"/>
              </w:rPr>
            </w:pPr>
            <w:r>
              <w:rPr>
                <w:rFonts w:asciiTheme="majorHAnsi" w:hAnsiTheme="majorHAnsi" w:cstheme="majorHAnsi"/>
                <w:b/>
                <w:color w:val="FFFFFF"/>
                <w:sz w:val="20"/>
                <w:szCs w:val="20"/>
              </w:rPr>
              <w:t>Control action</w:t>
            </w:r>
          </w:p>
        </w:tc>
      </w:tr>
      <w:tr w14:paraId="42998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pPr>
              <w:jc w:val="center"/>
            </w:pPr>
            <w:r/>
            <w:r>
              <w:rPr>
                <w:b/>
                <w:sz w:val="14"/>
              </w:rPr>
              <w:t>1</w:t>
            </w:r>
          </w:p>
        </w:tc>
        <w:tc>
          <w:tcPr>
            <w:tcW w:w="1985" w:type="dxa"/>
            <w:vAlign w:val="center"/>
          </w:tcPr>
          <w:p>
            <w:r/>
            <w:r>
              <w:rPr>
                <w:b w:val="0"/>
                <w:sz w:val="14"/>
              </w:rPr>
              <w:t>Good Bags</w:t>
            </w:r>
          </w:p>
        </w:tc>
        <w:tc>
          <w:tcPr>
            <w:tcW w:w="1701" w:type="dxa"/>
            <w:gridSpan w:val="2"/>
            <w:vAlign w:val="center"/>
          </w:tcPr>
          <w:p>
            <w:r/>
            <w:r>
              <w:rPr>
                <w:b w:val="0"/>
                <w:sz w:val="14"/>
              </w:rPr>
              <w:t>35913 bags</w:t>
            </w:r>
          </w:p>
        </w:tc>
        <w:tc>
          <w:tcPr>
            <w:tcW w:w="2808" w:type="dxa"/>
            <w:vAlign w:val="center"/>
          </w:tcPr>
          <w:p>
            <w:r/>
            <w:r>
              <w:rPr>
                <w:b w:val="0"/>
                <w:sz w:val="14"/>
              </w:rPr>
              <w:t>Good Bags represents 99.85% of total bags produced this week.</w:t>
            </w:r>
          </w:p>
        </w:tc>
        <w:tc>
          <w:tcPr>
            <w:tcW w:w="2314" w:type="dxa"/>
            <w:vAlign w:val="center"/>
          </w:tcPr>
          <w:p>
            <w:r/>
            <w:r>
              <w:rPr>
                <w:b w:val="0"/>
                <w:sz w:val="14"/>
              </w:rPr>
              <w:t>Baseline reference — no corrective action required.</w:t>
            </w:r>
          </w:p>
        </w:tc>
      </w:tr>
      <w:tr w14:paraId="42998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pPr>
              <w:jc w:val="center"/>
            </w:pPr>
            <w:r/>
            <w:r>
              <w:rPr>
                <w:b/>
                <w:sz w:val="14"/>
              </w:rPr>
              <w:t>2</w:t>
            </w:r>
          </w:p>
        </w:tc>
        <w:tc>
          <w:tcPr>
            <w:tcW w:w="1985" w:type="dxa"/>
            <w:vAlign w:val="center"/>
          </w:tcPr>
          <w:p>
            <w:r/>
            <w:r>
              <w:rPr>
                <w:b w:val="0"/>
                <w:sz w:val="14"/>
              </w:rPr>
              <w:t>Burst Bags</w:t>
            </w:r>
          </w:p>
        </w:tc>
        <w:tc>
          <w:tcPr>
            <w:tcW w:w="1701" w:type="dxa"/>
            <w:gridSpan w:val="2"/>
            <w:vAlign w:val="center"/>
          </w:tcPr>
          <w:p>
            <w:r/>
            <w:r>
              <w:rPr>
                <w:b w:val="0"/>
                <w:sz w:val="14"/>
              </w:rPr>
              <w:t>53 bags</w:t>
            </w:r>
          </w:p>
        </w:tc>
        <w:tc>
          <w:tcPr>
            <w:tcW w:w="2808" w:type="dxa"/>
            <w:vAlign w:val="center"/>
          </w:tcPr>
          <w:p>
            <w:r/>
            <w:r>
              <w:rPr>
                <w:b w:val="0"/>
                <w:sz w:val="14"/>
              </w:rPr>
              <w:t>Burst Bags represents 0.15% of total bags produced this week.</w:t>
            </w:r>
          </w:p>
        </w:tc>
        <w:tc>
          <w:tcPr>
            <w:tcW w:w="2314" w:type="dxa"/>
            <w:vAlign w:val="center"/>
          </w:tcPr>
          <w:p>
            <w:r/>
            <w:r>
              <w:rPr>
                <w:b w:val="0"/>
                <w:sz w:val="14"/>
              </w:rPr>
              <w:t>Review process records associated with Burst Bags and prioritize corrective action.</w:t>
            </w:r>
          </w:p>
        </w:tc>
      </w:tr>
      <w:tr w14:paraId="2D180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46" w:type="dxa"/>
            <w:gridSpan w:val="6"/>
            <w:tcBorders>
              <w:top w:val="single" w:color="FFC000" w:sz="14" w:space="0"/>
              <w:left w:val="single" w:color="FFC000" w:sz="14" w:space="0"/>
              <w:bottom w:val="single" w:color="FFC000" w:sz="14" w:space="0"/>
              <w:right w:val="single" w:color="FFC000" w:sz="14" w:space="0"/>
            </w:tcBorders>
            <w:shd w:val="clear" w:color="auto" w:fill="FFF2CC"/>
          </w:tcPr>
          <w:p>
            <w:r/>
            <w:r>
              <w:rPr>
                <w:b/>
                <w:sz w:val="16"/>
              </w:rPr>
              <w:t>Quality insight</w:t>
              <w:br/>
            </w:r>
            <w:r>
              <w:rPr>
                <w:b w:val="0"/>
                <w:sz w:val="16"/>
              </w:rPr>
              <w:t>Burst Bags account for 53 bags of recorded quality loss.</w:t>
            </w:r>
          </w:p>
        </w:tc>
      </w:tr>
    </w:tbl>
    <w:p w14:paraId="26394A5C">
      <w:pPr>
        <w:jc w:val="center"/>
        <w:rPr>
          <w:rFonts w:asciiTheme="majorHAnsi" w:hAnsiTheme="majorHAnsi" w:cstheme="majorHAnsi"/>
          <w:sz w:val="20"/>
          <w:szCs w:val="20"/>
        </w:rPr>
      </w:pPr>
    </w:p>
    <w:p w14:paraId="6E81DF87">
      <w:pPr>
        <w:jc w:val="center"/>
        <w:rPr>
          <w:rFonts w:asciiTheme="majorHAnsi" w:hAnsiTheme="majorHAnsi" w:cstheme="majorHAnsi"/>
          <w:sz w:val="20"/>
          <w:szCs w:val="20"/>
        </w:rPr>
      </w:pPr>
    </w:p>
    <w:p w14:paraId="446EF16E">
      <w:pPr>
        <w:jc w:val="center"/>
        <w:rPr>
          <w:rFonts w:asciiTheme="majorHAnsi" w:hAnsiTheme="majorHAnsi" w:cstheme="majorHAnsi"/>
          <w:sz w:val="20"/>
          <w:szCs w:val="20"/>
        </w:rPr>
      </w:pPr>
    </w:p>
    <w:p w14:paraId="417F63E3">
      <w:pPr>
        <w:jc w:val="center"/>
        <w:rPr>
          <w:rFonts w:asciiTheme="majorHAnsi" w:hAnsiTheme="majorHAnsi" w:cstheme="majorHAnsi"/>
          <w:sz w:val="20"/>
          <w:szCs w:val="20"/>
        </w:rPr>
      </w:pPr>
    </w:p>
    <w:p w14:paraId="44E17202">
      <w:pPr>
        <w:jc w:val="center"/>
        <w:rPr>
          <w:rFonts w:asciiTheme="majorHAnsi" w:hAnsiTheme="majorHAnsi" w:cstheme="majorHAnsi"/>
          <w:sz w:val="20"/>
          <w:szCs w:val="20"/>
        </w:rPr>
      </w:pPr>
    </w:p>
    <w:p w14:paraId="794EFE99">
      <w:pPr>
        <w:jc w:val="center"/>
        <w:rPr>
          <w:rFonts w:asciiTheme="majorHAnsi" w:hAnsiTheme="majorHAnsi" w:cstheme="majorHAnsi"/>
          <w:sz w:val="20"/>
          <w:szCs w:val="20"/>
        </w:rPr>
      </w:pPr>
    </w:p>
    <w:p w14:paraId="608F6524">
      <w:pPr>
        <w:jc w:val="center"/>
        <w:rPr>
          <w:rFonts w:asciiTheme="majorHAnsi" w:hAnsiTheme="majorHAnsi" w:cstheme="majorHAnsi"/>
          <w:sz w:val="20"/>
          <w:szCs w:val="20"/>
        </w:rPr>
      </w:pPr>
    </w:p>
    <w:p w14:paraId="3333CD9E">
      <w:pPr>
        <w:jc w:val="center"/>
        <w:rPr>
          <w:rFonts w:asciiTheme="majorHAnsi" w:hAnsiTheme="majorHAnsi" w:cstheme="majorHAnsi"/>
          <w:sz w:val="20"/>
          <w:szCs w:val="20"/>
        </w:rPr>
      </w:pPr>
    </w:p>
    <w:p w14:paraId="451CDBDB">
      <w:pPr>
        <w:jc w:val="center"/>
        <w:rPr>
          <w:rFonts w:asciiTheme="majorHAnsi" w:hAnsiTheme="majorHAnsi" w:cstheme="majorHAnsi"/>
          <w:sz w:val="20"/>
          <w:szCs w:val="20"/>
        </w:rPr>
      </w:pPr>
    </w:p>
    <w:p w14:paraId="35F3C92E">
      <w:pPr>
        <w:jc w:val="center"/>
        <w:rPr>
          <w:rFonts w:asciiTheme="majorHAnsi" w:hAnsiTheme="majorHAnsi" w:cstheme="majorHAnsi"/>
          <w:sz w:val="20"/>
          <w:szCs w:val="20"/>
        </w:rPr>
      </w:pPr>
    </w:p>
    <w:p w14:paraId="2C27E2BA">
      <w:pPr>
        <w:jc w:val="center"/>
        <w:rPr>
          <w:rFonts w:asciiTheme="majorHAnsi" w:hAnsiTheme="majorHAnsi" w:cstheme="majorHAnsi"/>
          <w:sz w:val="20"/>
          <w:szCs w:val="20"/>
        </w:rPr>
      </w:pPr>
    </w:p>
    <w:p w14:paraId="3D4F0E6C">
      <w:pPr>
        <w:jc w:val="center"/>
        <w:rPr>
          <w:rFonts w:asciiTheme="majorHAnsi" w:hAnsiTheme="majorHAnsi" w:cstheme="majorHAnsi"/>
          <w:sz w:val="20"/>
          <w:szCs w:val="20"/>
        </w:rPr>
      </w:pPr>
    </w:p>
    <w:p w14:paraId="29672A01">
      <w:pPr>
        <w:pStyle w:val="2"/>
        <w:pageBreakBefore/>
      </w:pPr>
      <w:r>
        <w:rPr>
          <w:b/>
          <w:sz w:val="30"/>
        </w:rPr>
        <w:t>4. Action Plan: What to Do Next Week</w:t>
      </w:r>
    </w:p>
    <w:p w14:paraId="75C331B7">
      <w:pPr>
        <w:spacing w:after="100"/>
        <w:rPr>
          <w:rFonts w:asciiTheme="majorHAnsi" w:hAnsiTheme="majorHAnsi" w:cstheme="majorHAnsi"/>
          <w:sz w:val="20"/>
          <w:szCs w:val="20"/>
        </w:rPr>
      </w:pPr>
      <w:r>
        <w:rPr>
          <w:b w:val="0"/>
          <w:sz w:val="18"/>
        </w:rPr>
        <w:t>Actions are prioritized from the verified OEE losses and AI-generated recommendations.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3"/>
        <w:gridCol w:w="888"/>
        <w:gridCol w:w="887"/>
        <w:gridCol w:w="1772"/>
        <w:gridCol w:w="1773"/>
        <w:gridCol w:w="888"/>
        <w:gridCol w:w="886"/>
        <w:gridCol w:w="1773"/>
      </w:tblGrid>
      <w:tr w14:paraId="41B69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73" w:type="dxa"/>
            <w:tcBorders>
              <w:top w:val="single" w:color="FFFFFF" w:sz="6" w:space="0"/>
              <w:left w:val="single" w:color="FFFFFF" w:sz="6" w:space="0"/>
              <w:bottom w:val="single" w:color="FFFFFF" w:sz="6" w:space="0"/>
              <w:right w:val="single" w:color="FFFFFF" w:sz="6" w:space="0"/>
            </w:tcBorders>
            <w:shd w:val="clear" w:color="auto" w:fill="17365D"/>
            <w:vAlign w:val="center"/>
          </w:tcPr>
          <w:p w14:paraId="5C573303">
            <w:pPr>
              <w:spacing w:after="0" w:line="240" w:lineRule="auto"/>
              <w:jc w:val="center"/>
              <w:rPr>
                <w:rFonts w:asciiTheme="majorHAnsi" w:hAnsiTheme="majorHAnsi" w:cstheme="majorHAnsi"/>
                <w:sz w:val="20"/>
                <w:szCs w:val="20"/>
              </w:rPr>
            </w:pPr>
            <w:r>
              <w:rPr>
                <w:rFonts w:asciiTheme="majorHAnsi" w:hAnsiTheme="majorHAnsi" w:cstheme="majorHAnsi"/>
                <w:b/>
                <w:color w:val="FFFFFF"/>
                <w:sz w:val="20"/>
                <w:szCs w:val="20"/>
              </w:rPr>
              <w:t>Priority</w:t>
            </w:r>
          </w:p>
        </w:tc>
        <w:tc>
          <w:tcPr>
            <w:tcW w:w="1775" w:type="dxa"/>
            <w:gridSpan w:val="2"/>
            <w:tcBorders>
              <w:top w:val="single" w:color="FFFFFF" w:sz="6" w:space="0"/>
              <w:left w:val="single" w:color="FFFFFF" w:sz="6" w:space="0"/>
              <w:bottom w:val="single" w:color="FFFFFF" w:sz="6" w:space="0"/>
              <w:right w:val="single" w:color="FFFFFF" w:sz="6" w:space="0"/>
            </w:tcBorders>
            <w:shd w:val="clear" w:color="auto" w:fill="17365D"/>
            <w:vAlign w:val="center"/>
          </w:tcPr>
          <w:p w14:paraId="184CEBE9">
            <w:pPr>
              <w:spacing w:after="0" w:line="240" w:lineRule="auto"/>
              <w:jc w:val="center"/>
              <w:rPr>
                <w:rFonts w:asciiTheme="majorHAnsi" w:hAnsiTheme="majorHAnsi" w:cstheme="majorHAnsi"/>
                <w:sz w:val="20"/>
                <w:szCs w:val="20"/>
              </w:rPr>
            </w:pPr>
            <w:r>
              <w:rPr>
                <w:rFonts w:asciiTheme="majorHAnsi" w:hAnsiTheme="majorHAnsi" w:cstheme="majorHAnsi"/>
                <w:b/>
                <w:color w:val="FFFFFF"/>
                <w:sz w:val="20"/>
                <w:szCs w:val="20"/>
              </w:rPr>
              <w:t>Owner</w:t>
            </w:r>
          </w:p>
        </w:tc>
        <w:tc>
          <w:tcPr>
            <w:tcW w:w="1772" w:type="dxa"/>
            <w:tcBorders>
              <w:top w:val="single" w:color="FFFFFF" w:sz="6" w:space="0"/>
              <w:left w:val="single" w:color="FFFFFF" w:sz="6" w:space="0"/>
              <w:bottom w:val="single" w:color="FFFFFF" w:sz="6" w:space="0"/>
              <w:right w:val="single" w:color="FFFFFF" w:sz="6" w:space="0"/>
            </w:tcBorders>
            <w:shd w:val="clear" w:color="auto" w:fill="17365D"/>
            <w:vAlign w:val="center"/>
          </w:tcPr>
          <w:p w14:paraId="5A02F9BF">
            <w:pPr>
              <w:spacing w:after="0" w:line="240" w:lineRule="auto"/>
              <w:jc w:val="center"/>
              <w:rPr>
                <w:rFonts w:asciiTheme="majorHAnsi" w:hAnsiTheme="majorHAnsi" w:cstheme="majorHAnsi"/>
                <w:sz w:val="20"/>
                <w:szCs w:val="20"/>
              </w:rPr>
            </w:pPr>
            <w:r>
              <w:rPr>
                <w:rFonts w:asciiTheme="majorHAnsi" w:hAnsiTheme="majorHAnsi" w:cstheme="majorHAnsi"/>
                <w:b/>
                <w:color w:val="FFFFFF"/>
                <w:sz w:val="20"/>
                <w:szCs w:val="20"/>
              </w:rPr>
              <w:t>Fault code</w:t>
            </w:r>
          </w:p>
        </w:tc>
        <w:tc>
          <w:tcPr>
            <w:tcW w:w="1773" w:type="dxa"/>
            <w:tcBorders>
              <w:top w:val="single" w:color="FFFFFF" w:sz="6" w:space="0"/>
              <w:left w:val="single" w:color="FFFFFF" w:sz="6" w:space="0"/>
              <w:bottom w:val="single" w:color="FFFFFF" w:sz="6" w:space="0"/>
              <w:right w:val="single" w:color="FFFFFF" w:sz="6" w:space="0"/>
            </w:tcBorders>
            <w:shd w:val="clear" w:color="auto" w:fill="17365D"/>
            <w:vAlign w:val="center"/>
          </w:tcPr>
          <w:p w14:paraId="3F3405C1">
            <w:pPr>
              <w:spacing w:after="0" w:line="240" w:lineRule="auto"/>
              <w:jc w:val="center"/>
              <w:rPr>
                <w:rFonts w:asciiTheme="majorHAnsi" w:hAnsiTheme="majorHAnsi" w:cstheme="majorHAnsi"/>
                <w:sz w:val="20"/>
                <w:szCs w:val="20"/>
              </w:rPr>
            </w:pPr>
            <w:r>
              <w:rPr>
                <w:rFonts w:asciiTheme="majorHAnsi" w:hAnsiTheme="majorHAnsi" w:cstheme="majorHAnsi"/>
                <w:b/>
                <w:color w:val="FFFFFF"/>
                <w:sz w:val="20"/>
                <w:szCs w:val="20"/>
              </w:rPr>
              <w:t>Action</w:t>
            </w:r>
          </w:p>
        </w:tc>
        <w:tc>
          <w:tcPr>
            <w:tcW w:w="1774" w:type="dxa"/>
            <w:gridSpan w:val="2"/>
            <w:tcBorders>
              <w:top w:val="single" w:color="FFFFFF" w:sz="6" w:space="0"/>
              <w:left w:val="single" w:color="FFFFFF" w:sz="6" w:space="0"/>
              <w:bottom w:val="single" w:color="FFFFFF" w:sz="6" w:space="0"/>
              <w:right w:val="single" w:color="FFFFFF" w:sz="6" w:space="0"/>
            </w:tcBorders>
            <w:shd w:val="clear" w:color="auto" w:fill="17365D"/>
            <w:vAlign w:val="center"/>
          </w:tcPr>
          <w:p w14:paraId="49CD9022">
            <w:pPr>
              <w:spacing w:after="0" w:line="240" w:lineRule="auto"/>
              <w:jc w:val="center"/>
              <w:rPr>
                <w:rFonts w:asciiTheme="majorHAnsi" w:hAnsiTheme="majorHAnsi" w:cstheme="majorHAnsi"/>
                <w:sz w:val="20"/>
                <w:szCs w:val="20"/>
              </w:rPr>
            </w:pPr>
            <w:r>
              <w:rPr>
                <w:rFonts w:asciiTheme="majorHAnsi" w:hAnsiTheme="majorHAnsi" w:cstheme="majorHAnsi"/>
                <w:b/>
                <w:color w:val="FFFFFF"/>
                <w:sz w:val="20"/>
                <w:szCs w:val="20"/>
              </w:rPr>
              <w:t>Success measure</w:t>
            </w:r>
          </w:p>
        </w:tc>
        <w:tc>
          <w:tcPr>
            <w:tcW w:w="1773" w:type="dxa"/>
            <w:tcBorders>
              <w:top w:val="single" w:color="FFFFFF" w:sz="6" w:space="0"/>
              <w:left w:val="single" w:color="FFFFFF" w:sz="6" w:space="0"/>
              <w:bottom w:val="single" w:color="FFFFFF" w:sz="6" w:space="0"/>
              <w:right w:val="single" w:color="FFFFFF" w:sz="6" w:space="0"/>
            </w:tcBorders>
            <w:shd w:val="clear" w:color="auto" w:fill="17365D"/>
            <w:vAlign w:val="center"/>
          </w:tcPr>
          <w:p w14:paraId="6E1F4C14">
            <w:pPr>
              <w:spacing w:after="0" w:line="240" w:lineRule="auto"/>
              <w:jc w:val="center"/>
              <w:rPr>
                <w:rFonts w:asciiTheme="majorHAnsi" w:hAnsiTheme="majorHAnsi" w:cstheme="majorHAnsi"/>
                <w:sz w:val="20"/>
                <w:szCs w:val="20"/>
              </w:rPr>
            </w:pPr>
            <w:r>
              <w:rPr>
                <w:rFonts w:asciiTheme="majorHAnsi" w:hAnsiTheme="majorHAnsi" w:cstheme="majorHAnsi"/>
                <w:b/>
                <w:color w:val="FFFFFF"/>
                <w:sz w:val="20"/>
                <w:szCs w:val="20"/>
              </w:rPr>
              <w:t>Review frequency</w:t>
            </w:r>
          </w:p>
        </w:tc>
      </w:tr>
      <w:tr w14:paraId="0AF20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3" w:type="dxa"/>
            <w:shd w:val="clear" w:color="auto" w:fill="F8CBAD"/>
            <w:vAlign w:val="center"/>
          </w:tcPr>
          <w:p>
            <w:pPr>
              <w:jc w:val="center"/>
            </w:pPr>
            <w:r/>
            <w:r>
              <w:rPr>
                <w:b w:val="0"/>
                <w:sz w:val="14"/>
              </w:rPr>
              <w:t>P1</w:t>
            </w:r>
          </w:p>
        </w:tc>
        <w:tc>
          <w:tcPr>
            <w:tcW w:w="1775" w:type="dxa"/>
            <w:gridSpan w:val="2"/>
            <w:vAlign w:val="center"/>
          </w:tcPr>
          <w:p>
            <w:r/>
            <w:r>
              <w:rPr>
                <w:b w:val="0"/>
                <w:sz w:val="14"/>
              </w:rPr>
              <w:t>Maintenance + Production</w:t>
            </w:r>
          </w:p>
        </w:tc>
        <w:tc>
          <w:tcPr>
            <w:tcW w:w="1772" w:type="dxa"/>
            <w:vAlign w:val="center"/>
          </w:tcPr>
          <w:p>
            <w:r/>
            <w:r>
              <w:rPr>
                <w:b w:val="0"/>
                <w:sz w:val="14"/>
              </w:rPr>
              <w:t>Maintenance + Production</w:t>
            </w:r>
          </w:p>
        </w:tc>
        <w:tc>
          <w:tcPr>
            <w:tcW w:w="1773" w:type="dxa"/>
            <w:vAlign w:val="center"/>
          </w:tcPr>
          <w:p>
            <w:r/>
            <w:r>
              <w:rPr>
                <w:b w:val="0"/>
                <w:sz w:val="14"/>
              </w:rPr>
              <w:t>Fillpac 4 Belt Not Running</w:t>
            </w:r>
          </w:p>
        </w:tc>
        <w:tc>
          <w:tcPr>
            <w:tcW w:w="1774" w:type="dxa"/>
            <w:gridSpan w:val="2"/>
            <w:vAlign w:val="center"/>
          </w:tcPr>
          <w:p>
            <w:r/>
            <w:r>
              <w:rPr>
                <w:b w:val="0"/>
                <w:sz w:val="14"/>
              </w:rPr>
              <w:t>Reduce Fillpac 4 Belt Not Running downtime (currently 178.81 minutes this week) to recover Availability.</w:t>
            </w:r>
          </w:p>
        </w:tc>
        <w:tc>
          <w:tcPr>
            <w:tcW w:w="1773" w:type="dxa"/>
            <w:vAlign w:val="center"/>
          </w:tcPr>
          <w:p>
            <w:r/>
            <w:r>
              <w:rPr>
                <w:b w:val="0"/>
                <w:sz w:val="14"/>
              </w:rPr>
              <w:t>Cut Fillpac 4 Belt Not Running downtime versus this week's 178.81 minutes.</w:t>
            </w:r>
          </w:p>
        </w:tc>
      </w:tr>
      <w:tr w14:paraId="0AF20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3" w:type="dxa"/>
            <w:shd w:val="clear" w:color="auto" w:fill="F8CBAD"/>
            <w:vAlign w:val="center"/>
          </w:tcPr>
          <w:p>
            <w:pPr>
              <w:jc w:val="center"/>
            </w:pPr>
            <w:r/>
            <w:r>
              <w:rPr>
                <w:b w:val="0"/>
                <w:sz w:val="14"/>
              </w:rPr>
              <w:t>P1</w:t>
            </w:r>
          </w:p>
        </w:tc>
        <w:tc>
          <w:tcPr>
            <w:tcW w:w="1775" w:type="dxa"/>
            <w:gridSpan w:val="2"/>
            <w:vAlign w:val="center"/>
          </w:tcPr>
          <w:p>
            <w:r/>
            <w:r>
              <w:rPr>
                <w:b w:val="0"/>
                <w:sz w:val="14"/>
              </w:rPr>
              <w:t>Maintenance + Production</w:t>
            </w:r>
          </w:p>
        </w:tc>
        <w:tc>
          <w:tcPr>
            <w:tcW w:w="1772" w:type="dxa"/>
            <w:vAlign w:val="center"/>
          </w:tcPr>
          <w:p>
            <w:r/>
            <w:r>
              <w:rPr>
                <w:b w:val="0"/>
                <w:sz w:val="14"/>
              </w:rPr>
              <w:t>Maintenance + Production</w:t>
            </w:r>
          </w:p>
        </w:tc>
        <w:tc>
          <w:tcPr>
            <w:tcW w:w="1773" w:type="dxa"/>
            <w:vAlign w:val="center"/>
          </w:tcPr>
          <w:p>
            <w:r/>
            <w:r>
              <w:rPr>
                <w:b w:val="0"/>
                <w:sz w:val="14"/>
              </w:rPr>
              <w:t>Fillpac 2 Belt Not Running</w:t>
            </w:r>
          </w:p>
        </w:tc>
        <w:tc>
          <w:tcPr>
            <w:tcW w:w="1774" w:type="dxa"/>
            <w:gridSpan w:val="2"/>
            <w:vAlign w:val="center"/>
          </w:tcPr>
          <w:p>
            <w:r/>
            <w:r>
              <w:rPr>
                <w:b w:val="0"/>
                <w:sz w:val="14"/>
              </w:rPr>
              <w:t>Reduce Fillpac 2 Belt Not Running downtime (currently 147.98 minutes this week) to recover Availability.</w:t>
            </w:r>
          </w:p>
        </w:tc>
        <w:tc>
          <w:tcPr>
            <w:tcW w:w="1773" w:type="dxa"/>
            <w:vAlign w:val="center"/>
          </w:tcPr>
          <w:p>
            <w:r/>
            <w:r>
              <w:rPr>
                <w:b w:val="0"/>
                <w:sz w:val="14"/>
              </w:rPr>
              <w:t>Cut Fillpac 2 Belt Not Running downtime versus this week's 147.98 minutes.</w:t>
            </w:r>
          </w:p>
        </w:tc>
      </w:tr>
      <w:tr w14:paraId="0AF20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3" w:type="dxa"/>
            <w:shd w:val="clear" w:color="auto" w:fill="F8CBAD"/>
            <w:vAlign w:val="center"/>
          </w:tcPr>
          <w:p>
            <w:pPr>
              <w:jc w:val="center"/>
            </w:pPr>
            <w:r/>
            <w:r>
              <w:rPr>
                <w:b w:val="0"/>
                <w:sz w:val="14"/>
              </w:rPr>
              <w:t>P1</w:t>
            </w:r>
          </w:p>
        </w:tc>
        <w:tc>
          <w:tcPr>
            <w:tcW w:w="1775" w:type="dxa"/>
            <w:gridSpan w:val="2"/>
            <w:vAlign w:val="center"/>
          </w:tcPr>
          <w:p>
            <w:r/>
            <w:r>
              <w:rPr>
                <w:b w:val="0"/>
                <w:sz w:val="14"/>
              </w:rPr>
              <w:t>Maintenance + Production</w:t>
            </w:r>
          </w:p>
        </w:tc>
        <w:tc>
          <w:tcPr>
            <w:tcW w:w="1772" w:type="dxa"/>
            <w:vAlign w:val="center"/>
          </w:tcPr>
          <w:p>
            <w:r/>
            <w:r>
              <w:rPr>
                <w:b w:val="0"/>
                <w:sz w:val="14"/>
              </w:rPr>
              <w:t>Maintenance + Production</w:t>
            </w:r>
          </w:p>
        </w:tc>
        <w:tc>
          <w:tcPr>
            <w:tcW w:w="1773" w:type="dxa"/>
            <w:vAlign w:val="center"/>
          </w:tcPr>
          <w:p>
            <w:r/>
            <w:r>
              <w:rPr>
                <w:b w:val="0"/>
                <w:sz w:val="14"/>
              </w:rPr>
              <w:t>Fillpac 1 Belt Not Running</w:t>
            </w:r>
          </w:p>
        </w:tc>
        <w:tc>
          <w:tcPr>
            <w:tcW w:w="1774" w:type="dxa"/>
            <w:gridSpan w:val="2"/>
            <w:vAlign w:val="center"/>
          </w:tcPr>
          <w:p>
            <w:r/>
            <w:r>
              <w:rPr>
                <w:b w:val="0"/>
                <w:sz w:val="14"/>
              </w:rPr>
              <w:t>Reduce Fillpac 1 Belt Not Running downtime (currently 102.21 minutes this week) to recover Availability.</w:t>
            </w:r>
          </w:p>
        </w:tc>
        <w:tc>
          <w:tcPr>
            <w:tcW w:w="1773" w:type="dxa"/>
            <w:vAlign w:val="center"/>
          </w:tcPr>
          <w:p>
            <w:r/>
            <w:r>
              <w:rPr>
                <w:b w:val="0"/>
                <w:sz w:val="14"/>
              </w:rPr>
              <w:t>Cut Fillpac 1 Belt Not Running downtime versus this week's 102.21 minutes.</w:t>
            </w:r>
          </w:p>
        </w:tc>
      </w:tr>
      <w:tr w14:paraId="0AF20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3" w:type="dxa"/>
            <w:shd w:val="clear" w:color="auto" w:fill="F8CBAD"/>
            <w:vAlign w:val="center"/>
          </w:tcPr>
          <w:p>
            <w:pPr>
              <w:jc w:val="center"/>
            </w:pPr>
            <w:r/>
            <w:r>
              <w:rPr>
                <w:b w:val="0"/>
                <w:sz w:val="14"/>
              </w:rPr>
              <w:t>P1</w:t>
            </w:r>
          </w:p>
        </w:tc>
        <w:tc>
          <w:tcPr>
            <w:tcW w:w="1775" w:type="dxa"/>
            <w:gridSpan w:val="2"/>
            <w:vAlign w:val="center"/>
          </w:tcPr>
          <w:p>
            <w:r/>
            <w:r>
              <w:rPr>
                <w:b w:val="0"/>
                <w:sz w:val="14"/>
              </w:rPr>
              <w:t>Maintenance + Production</w:t>
            </w:r>
          </w:p>
        </w:tc>
        <w:tc>
          <w:tcPr>
            <w:tcW w:w="1772" w:type="dxa"/>
            <w:vAlign w:val="center"/>
          </w:tcPr>
          <w:p>
            <w:r/>
            <w:r>
              <w:rPr>
                <w:b w:val="0"/>
                <w:sz w:val="14"/>
              </w:rPr>
              <w:t>Maintenance + Production</w:t>
            </w:r>
          </w:p>
        </w:tc>
        <w:tc>
          <w:tcPr>
            <w:tcW w:w="1773" w:type="dxa"/>
            <w:vAlign w:val="center"/>
          </w:tcPr>
          <w:p>
            <w:r/>
            <w:r>
              <w:rPr>
                <w:b w:val="0"/>
                <w:sz w:val="14"/>
              </w:rPr>
              <w:t>Fillpac 4 Main Drive Stop</w:t>
            </w:r>
          </w:p>
        </w:tc>
        <w:tc>
          <w:tcPr>
            <w:tcW w:w="1774" w:type="dxa"/>
            <w:gridSpan w:val="2"/>
            <w:vAlign w:val="center"/>
          </w:tcPr>
          <w:p>
            <w:r/>
            <w:r>
              <w:rPr>
                <w:b w:val="0"/>
                <w:sz w:val="14"/>
              </w:rPr>
              <w:t>Reduce Fillpac 4 Main Drive Stop downtime (currently 15.97 minutes this week) to recover Availability.</w:t>
            </w:r>
          </w:p>
        </w:tc>
        <w:tc>
          <w:tcPr>
            <w:tcW w:w="1773" w:type="dxa"/>
            <w:vAlign w:val="center"/>
          </w:tcPr>
          <w:p>
            <w:r/>
            <w:r>
              <w:rPr>
                <w:b w:val="0"/>
                <w:sz w:val="14"/>
              </w:rPr>
              <w:t>Cut Fillpac 4 Main Drive Stop downtime versus this week's 15.97 minutes.</w:t>
            </w:r>
          </w:p>
        </w:tc>
      </w:tr>
      <w:tr w14:paraId="5BDEC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661" w:type="dxa"/>
            <w:gridSpan w:val="2"/>
            <w:tcBorders>
              <w:top w:val="single" w:color="FFFFFF" w:sz="6" w:space="0"/>
              <w:left w:val="single" w:color="FFFFFF" w:sz="6" w:space="0"/>
              <w:bottom w:val="single" w:color="FFFFFF" w:sz="6" w:space="0"/>
              <w:right w:val="single" w:color="FFFFFF" w:sz="6" w:space="0"/>
            </w:tcBorders>
            <w:shd w:val="clear" w:color="auto" w:fill="17365D"/>
            <w:vAlign w:val="center"/>
          </w:tcPr>
          <w:p w14:paraId="771A1F1D">
            <w:pPr>
              <w:spacing w:after="0" w:line="240" w:lineRule="auto"/>
              <w:jc w:val="center"/>
              <w:rPr>
                <w:rFonts w:asciiTheme="majorHAnsi" w:hAnsiTheme="majorHAnsi" w:cstheme="majorHAnsi"/>
                <w:sz w:val="20"/>
                <w:szCs w:val="20"/>
              </w:rPr>
            </w:pPr>
            <w:r>
              <w:rPr>
                <w:rFonts w:asciiTheme="majorHAnsi" w:hAnsiTheme="majorHAnsi" w:cstheme="majorHAnsi"/>
                <w:b/>
                <w:color w:val="FFFFFF"/>
                <w:sz w:val="20"/>
                <w:szCs w:val="20"/>
              </w:rPr>
              <w:t>If action is completed</w:t>
            </w:r>
          </w:p>
        </w:tc>
        <w:tc>
          <w:tcPr>
            <w:tcW w:w="2659" w:type="dxa"/>
            <w:gridSpan w:val="2"/>
            <w:tcBorders>
              <w:top w:val="single" w:color="FFFFFF" w:sz="6" w:space="0"/>
              <w:left w:val="single" w:color="FFFFFF" w:sz="6" w:space="0"/>
              <w:bottom w:val="single" w:color="FFFFFF" w:sz="6" w:space="0"/>
              <w:right w:val="single" w:color="FFFFFF" w:sz="6" w:space="0"/>
            </w:tcBorders>
            <w:shd w:val="clear" w:color="auto" w:fill="17365D"/>
            <w:vAlign w:val="center"/>
          </w:tcPr>
          <w:p w14:paraId="40289D9C">
            <w:pPr>
              <w:spacing w:after="0" w:line="240" w:lineRule="auto"/>
              <w:jc w:val="center"/>
              <w:rPr>
                <w:rFonts w:asciiTheme="majorHAnsi" w:hAnsiTheme="majorHAnsi" w:cstheme="majorHAnsi"/>
                <w:sz w:val="20"/>
                <w:szCs w:val="20"/>
              </w:rPr>
            </w:pPr>
            <w:r>
              <w:rPr>
                <w:rFonts w:asciiTheme="majorHAnsi" w:hAnsiTheme="majorHAnsi" w:cstheme="majorHAnsi"/>
                <w:b/>
                <w:color w:val="FFFFFF"/>
                <w:sz w:val="20"/>
                <w:szCs w:val="20"/>
              </w:rPr>
              <w:t>Expected change</w:t>
            </w:r>
          </w:p>
        </w:tc>
        <w:tc>
          <w:tcPr>
            <w:tcW w:w="2661" w:type="dxa"/>
            <w:gridSpan w:val="2"/>
            <w:tcBorders>
              <w:top w:val="single" w:color="FFFFFF" w:sz="6" w:space="0"/>
              <w:left w:val="single" w:color="FFFFFF" w:sz="6" w:space="0"/>
              <w:bottom w:val="single" w:color="FFFFFF" w:sz="6" w:space="0"/>
              <w:right w:val="single" w:color="FFFFFF" w:sz="6" w:space="0"/>
            </w:tcBorders>
            <w:shd w:val="clear" w:color="auto" w:fill="17365D"/>
            <w:vAlign w:val="center"/>
          </w:tcPr>
          <w:p w14:paraId="71335019">
            <w:pPr>
              <w:spacing w:after="0" w:line="240" w:lineRule="auto"/>
              <w:jc w:val="center"/>
              <w:rPr>
                <w:rFonts w:asciiTheme="majorHAnsi" w:hAnsiTheme="majorHAnsi" w:cstheme="majorHAnsi"/>
                <w:sz w:val="20"/>
                <w:szCs w:val="20"/>
              </w:rPr>
            </w:pPr>
            <w:r>
              <w:rPr>
                <w:rFonts w:asciiTheme="majorHAnsi" w:hAnsiTheme="majorHAnsi" w:cstheme="majorHAnsi"/>
                <w:b/>
                <w:color w:val="FFFFFF"/>
                <w:sz w:val="20"/>
                <w:szCs w:val="20"/>
              </w:rPr>
              <w:t>Approx. OEE result</w:t>
            </w:r>
          </w:p>
        </w:tc>
        <w:tc>
          <w:tcPr>
            <w:tcW w:w="2659" w:type="dxa"/>
            <w:gridSpan w:val="2"/>
            <w:tcBorders>
              <w:top w:val="single" w:color="FFFFFF" w:sz="6" w:space="0"/>
              <w:left w:val="single" w:color="FFFFFF" w:sz="6" w:space="0"/>
              <w:bottom w:val="single" w:color="FFFFFF" w:sz="6" w:space="0"/>
              <w:right w:val="single" w:color="FFFFFF" w:sz="6" w:space="0"/>
            </w:tcBorders>
            <w:shd w:val="clear" w:color="auto" w:fill="17365D"/>
            <w:vAlign w:val="center"/>
          </w:tcPr>
          <w:p w14:paraId="5894B489">
            <w:pPr>
              <w:spacing w:after="0" w:line="240" w:lineRule="auto"/>
              <w:jc w:val="center"/>
              <w:rPr>
                <w:rFonts w:asciiTheme="majorHAnsi" w:hAnsiTheme="majorHAnsi" w:cstheme="majorHAnsi"/>
                <w:sz w:val="20"/>
                <w:szCs w:val="20"/>
              </w:rPr>
            </w:pPr>
            <w:r>
              <w:rPr>
                <w:rFonts w:asciiTheme="majorHAnsi" w:hAnsiTheme="majorHAnsi" w:cstheme="majorHAnsi"/>
                <w:b/>
                <w:color w:val="FFFFFF"/>
                <w:sz w:val="20"/>
                <w:szCs w:val="20"/>
              </w:rPr>
              <w:t>Management decision</w:t>
            </w:r>
          </w:p>
        </w:tc>
      </w:tr>
      <w:tr w14:paraId="04902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1" w:type="dxa"/>
            <w:gridSpan w:val="2"/>
            <w:vAlign w:val="center"/>
          </w:tcPr>
          <w:p>
            <w:r/>
            <w:r>
              <w:rPr>
                <w:b w:val="0"/>
                <w:sz w:val="14"/>
              </w:rPr>
              <w:t>Fillpac 4 Belt Not Running reduced</w:t>
            </w:r>
          </w:p>
        </w:tc>
        <w:tc>
          <w:tcPr>
            <w:tcW w:w="2659" w:type="dxa"/>
            <w:gridSpan w:val="2"/>
            <w:vAlign w:val="center"/>
          </w:tcPr>
          <w:p>
            <w:r/>
            <w:r>
              <w:rPr>
                <w:b w:val="0"/>
                <w:sz w:val="14"/>
              </w:rPr>
              <w:t>Availability improves first</w:t>
            </w:r>
          </w:p>
        </w:tc>
        <w:tc>
          <w:tcPr>
            <w:tcW w:w="2661" w:type="dxa"/>
            <w:gridSpan w:val="2"/>
            <w:vAlign w:val="center"/>
          </w:tcPr>
          <w:p>
            <w:r/>
            <w:r>
              <w:rPr>
                <w:b w:val="0"/>
                <w:sz w:val="14"/>
              </w:rPr>
              <w:t>~67.71%</w:t>
            </w:r>
          </w:p>
        </w:tc>
        <w:tc>
          <w:tcPr>
            <w:tcW w:w="2659" w:type="dxa"/>
            <w:gridSpan w:val="2"/>
            <w:vAlign w:val="center"/>
          </w:tcPr>
          <w:p>
            <w:r/>
            <w:r>
              <w:rPr>
                <w:b w:val="0"/>
                <w:sz w:val="14"/>
              </w:rPr>
              <w:t>Continue the countermeasure until stable</w:t>
            </w:r>
          </w:p>
        </w:tc>
      </w:tr>
      <w:tr w14:paraId="57FDF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1" w:type="dxa"/>
            <w:gridSpan w:val="2"/>
            <w:vAlign w:val="center"/>
          </w:tcPr>
          <w:p>
            <w:r/>
            <w:r>
              <w:rPr>
                <w:b w:val="0"/>
                <w:sz w:val="14"/>
              </w:rPr>
              <w:t>Fillpac 4 Belt Not Running plus Fillpac 2 Belt Not Running addressed</w:t>
            </w:r>
          </w:p>
        </w:tc>
        <w:tc>
          <w:tcPr>
            <w:tcW w:w="2659" w:type="dxa"/>
            <w:gridSpan w:val="2"/>
            <w:vAlign w:val="center"/>
          </w:tcPr>
          <w:p>
            <w:r/>
            <w:r>
              <w:rPr>
                <w:b w:val="0"/>
                <w:sz w:val="14"/>
              </w:rPr>
              <w:t>Near-target recovery</w:t>
            </w:r>
          </w:p>
        </w:tc>
        <w:tc>
          <w:tcPr>
            <w:tcW w:w="2661" w:type="dxa"/>
            <w:gridSpan w:val="2"/>
            <w:vAlign w:val="center"/>
          </w:tcPr>
          <w:p>
            <w:r/>
            <w:r>
              <w:rPr>
                <w:b w:val="0"/>
                <w:sz w:val="14"/>
              </w:rPr>
              <w:t>~77.14%</w:t>
            </w:r>
          </w:p>
        </w:tc>
        <w:tc>
          <w:tcPr>
            <w:tcW w:w="2659" w:type="dxa"/>
            <w:gridSpan w:val="2"/>
            <w:vAlign w:val="center"/>
          </w:tcPr>
          <w:p>
            <w:r/>
            <w:r>
              <w:rPr>
                <w:b w:val="0"/>
                <w:sz w:val="14"/>
              </w:rPr>
              <w:t>Shift focus to Burst Bags, the next-largest quality contributor</w:t>
            </w:r>
          </w:p>
        </w:tc>
      </w:tr>
      <w:tr w14:paraId="63213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1" w:type="dxa"/>
            <w:gridSpan w:val="2"/>
            <w:vAlign w:val="center"/>
          </w:tcPr>
          <w:p>
            <w:r/>
            <w:r>
              <w:rPr>
                <w:b w:val="0"/>
                <w:sz w:val="14"/>
              </w:rPr>
              <w:t>Availability stable + Burst Bags reduced</w:t>
            </w:r>
          </w:p>
        </w:tc>
        <w:tc>
          <w:tcPr>
            <w:tcW w:w="2659" w:type="dxa"/>
            <w:gridSpan w:val="2"/>
            <w:vAlign w:val="center"/>
          </w:tcPr>
          <w:p>
            <w:r/>
            <w:r>
              <w:rPr>
                <w:b w:val="0"/>
                <w:sz w:val="14"/>
              </w:rPr>
              <w:t>Target recovery</w:t>
            </w:r>
          </w:p>
        </w:tc>
        <w:tc>
          <w:tcPr>
            <w:tcW w:w="2661" w:type="dxa"/>
            <w:gridSpan w:val="2"/>
            <w:vAlign w:val="center"/>
          </w:tcPr>
          <w:p>
            <w:r/>
            <w:r>
              <w:rPr>
                <w:b w:val="0"/>
                <w:sz w:val="14"/>
              </w:rPr>
              <w:t>~85.00%</w:t>
            </w:r>
          </w:p>
        </w:tc>
        <w:tc>
          <w:tcPr>
            <w:tcW w:w="2659" w:type="dxa"/>
            <w:gridSpan w:val="2"/>
            <w:vAlign w:val="center"/>
          </w:tcPr>
          <w:p>
            <w:r/>
            <w:r>
              <w:rPr>
                <w:b w:val="0"/>
                <w:sz w:val="14"/>
              </w:rPr>
              <w:t>Standardize the new checks into SOP</w:t>
            </w:r>
          </w:p>
        </w:tc>
      </w:tr>
    </w:tbl>
    <w:p w14:paraId="492CCDD6">
      <w:pPr>
        <w:rPr>
          <w:rFonts w:asciiTheme="majorHAnsi" w:hAnsiTheme="majorHAnsi" w:cstheme="majorHAnsi"/>
          <w:sz w:val="20"/>
          <w:szCs w:val="20"/>
        </w:rPr>
      </w:pPr>
    </w:p>
    <w:p w14:paraId="1F977CE8">
      <w:pPr>
        <w:jc w:val="center"/>
        <w:rPr>
          <w:rFonts w:asciiTheme="majorHAnsi" w:hAnsiTheme="majorHAnsi" w:cstheme="majorHAnsi"/>
          <w:sz w:val="20"/>
          <w:szCs w:val="20"/>
        </w:rPr>
      </w:pPr>
    </w:p>
    <w:p w14:paraId="54AF9E39">
      <w:pPr>
        <w:jc w:val="center"/>
      </w:pPr>
      <w:r>
        <w:drawing>
          <wp:inline distT="0" distB="0" distL="114300" distR="114300">
            <wp:extent cx="3599815" cy="2183765"/>
            <wp:effectExtent l="0" t="0" r="0" b="0"/>
            <wp:docPr id="1421391288" name="Picture 1421391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91288" name="Picture 1421391288"/>
                    <pic:cNvPicPr>
                      <a:picLocks noChangeAspect="1"/>
                    </pic:cNvPicPr>
                  </pic:nvPicPr>
                  <pic:blipFill>
                    <a:blip r:embed="rId13"/>
                    <a:stretch>
                      <a:fillRect/>
                    </a:stretch>
                  </pic:blipFill>
                  <pic:spPr>
                    <a:xfrm>
                      <a:off x="0" y="0"/>
                      <a:ext cx="3600000" cy="2184269"/>
                    </a:xfrm>
                    <a:prstGeom prst="rect">
                      <a:avLst/>
                    </a:prstGeom>
                  </pic:spPr>
                </pic:pic>
              </a:graphicData>
            </a:graphic>
          </wp:inline>
        </w:drawing>
      </w:r>
    </w:p>
    <w:sectPr>
      <w:headerReference r:id="rId5" w:type="default"/>
      <w:footerReference r:id="rId6" w:type="default"/>
      <w:pgSz w:w="12240" w:h="15840"/>
      <w:pgMar w:top="720" w:right="792" w:bottom="720" w:left="792" w:header="907"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u"/>
    <w:panose1 w:val="02070409020205020404"/>
    <w:charset w:val="00"/>
    <w:family w:val="modern"/>
    <w:pitch w:val="default"/>
    <w:sig w:usb0="00000000" w:usb1="00000000" w:usb2="00000000" w:usb3="00000000" w:csb0="00000001" w:csb1="00000000"/>
  </w:font>
  <w:font w:name="Courier Neu">
    <w:panose1 w:val="02070309020205020404"/>
    <w:charset w:val="00"/>
    <w:family w:val="auto"/>
    <w:pitch w:val="default"/>
    <w:sig w:usb0="00000287" w:usb1="00000000" w:usb2="00000000" w:usb3="00000000" w:csb0="4000009F" w:csb1="DFD74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0DF98D">
    <w:pPr>
      <w:pStyle w:val="18"/>
      <w:jc w:val="center"/>
    </w:pPr>
    <w:r>
      <w:rPr>
        <w:sz w:val="14"/>
      </w:rPr>
      <w:t>Fillpac 1, Fillpac 2, Fillpac 3, Fillpac 4 | Week 10 | Previous Week 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C26E7C">
    <w:pPr>
      <w:pStyle w:val="19"/>
    </w:pPr>
    <w:r>
      <w:drawing>
        <wp:anchor distT="0" distB="0" distL="114300" distR="114300" simplePos="0" relativeHeight="251659264" behindDoc="1" locked="0" layoutInCell="1" allowOverlap="1">
          <wp:simplePos x="0" y="0"/>
          <wp:positionH relativeFrom="margin">
            <wp:posOffset>5050790</wp:posOffset>
          </wp:positionH>
          <wp:positionV relativeFrom="paragraph">
            <wp:posOffset>-412750</wp:posOffset>
          </wp:positionV>
          <wp:extent cx="1711325" cy="406400"/>
          <wp:effectExtent l="0" t="0" r="3175" b="0"/>
          <wp:wrapThrough wrapText="bothSides">
            <wp:wrapPolygon>
              <wp:start x="0" y="0"/>
              <wp:lineTo x="0" y="20250"/>
              <wp:lineTo x="21400" y="20250"/>
              <wp:lineTo x="21400" y="0"/>
              <wp:lineTo x="0" y="0"/>
            </wp:wrapPolygon>
          </wp:wrapThrough>
          <wp:docPr id="54" name="Picture 54" descr="C:\Users\in981848\Desktop\Airport\Projects\2016\116-060104 Hyderabad Departure Project\02 Quotation\09 Company Introduction\Logo_BEUMERGROUP_Originalfarbe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C:\Users\in981848\Desktop\Airport\Projects\2016\116-060104 Hyderabad Departure Project\02 Quotation\09 Company Introduction\Logo_BEUMERGROUP_Originalfarbe_RGB.JPG"/>
                  <pic:cNvPicPr>
                    <a:picLocks noChangeAspect="1" noChangeArrowheads="1"/>
                  </pic:cNvPicPr>
                </pic:nvPicPr>
                <pic:blipFill>
                  <a:blip r:embed="rId1" cstate="print">
                    <a:extLst>
                      <a:ext uri="{28A0092B-C50C-407E-A947-70E740481C1C}">
                        <a14:useLocalDpi xmlns:a14="http://schemas.microsoft.com/office/drawing/2010/main" val="0"/>
                      </a:ext>
                    </a:extLst>
                  </a:blip>
                  <a:srcRect l="5735"/>
                  <a:stretch>
                    <a:fillRect/>
                  </a:stretch>
                </pic:blipFill>
                <pic:spPr>
                  <a:xfrm>
                    <a:off x="0" y="0"/>
                    <a:ext cx="1711325" cy="406400"/>
                  </a:xfrm>
                  <a:prstGeom prst="rect">
                    <a:avLst/>
                  </a:prstGeom>
                  <a:noFill/>
                  <a:ln>
                    <a:noFill/>
                  </a:ln>
                </pic:spPr>
              </pic:pic>
            </a:graphicData>
          </a:graphic>
        </wp:anchor>
      </w:drawing>
    </w:r>
    <w:r>
      <w:ptab w:relativeTo="margin" w:alignment="right" w:leader="none"/>
    </w:r>
    <w:r>
      <w:drawing>
        <wp:anchor distT="0" distB="0" distL="114300" distR="114300" simplePos="0" relativeHeight="251659264" behindDoc="1" locked="0" layoutInCell="1" allowOverlap="1">
          <wp:simplePos x="0" y="0"/>
          <wp:positionH relativeFrom="margin">
            <wp:posOffset>0</wp:posOffset>
          </wp:positionH>
          <wp:positionV relativeFrom="paragraph">
            <wp:posOffset>-412750</wp:posOffset>
          </wp:positionV>
          <wp:extent cx="1208405" cy="406400"/>
          <wp:effectExtent l="0" t="0" r="10795" b="12700"/>
          <wp:wrapThrough wrapText="bothSides">
            <wp:wrapPolygon>
              <wp:start x="0" y="0"/>
              <wp:lineTo x="0" y="20250"/>
              <wp:lineTo x="21112" y="20250"/>
              <wp:lineTo x="21112" y="0"/>
              <wp:lineTo x="0" y="0"/>
            </wp:wrapPolygon>
          </wp:wrapThrough>
          <wp:docPr id="55" name="Picture 55" descr="C:/Users/Administrator/Downloads/262-2629860_one-of-the-top-5-cement-groups-in.png262-2629860_one-of-the-top-5-cement-groups-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C:/Users/Administrator/Downloads/262-2629860_one-of-the-top-5-cement-groups-in.png262-2629860_one-of-the-top-5-cement-groups-in"/>
                  <pic:cNvPicPr>
                    <a:picLocks noChangeAspect="1"/>
                  </pic:cNvPicPr>
                </pic:nvPicPr>
                <pic:blipFill>
                  <a:blip r:embed="rId2"/>
                  <a:srcRect l="10313" r="10313"/>
                  <a:stretch>
                    <a:fillRect/>
                  </a:stretch>
                </pic:blipFill>
                <pic:spPr>
                  <a:xfrm>
                    <a:off x="0" y="0"/>
                    <a:ext cx="1208398" cy="4064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75C7"/>
    <w:rsid w:val="0006063C"/>
    <w:rsid w:val="00064E9C"/>
    <w:rsid w:val="000B58BA"/>
    <w:rsid w:val="00115E66"/>
    <w:rsid w:val="0015074B"/>
    <w:rsid w:val="001E2D16"/>
    <w:rsid w:val="00276070"/>
    <w:rsid w:val="002820A4"/>
    <w:rsid w:val="0029639D"/>
    <w:rsid w:val="00297BD8"/>
    <w:rsid w:val="003039C9"/>
    <w:rsid w:val="00326F90"/>
    <w:rsid w:val="003323EF"/>
    <w:rsid w:val="0039075D"/>
    <w:rsid w:val="003F51B6"/>
    <w:rsid w:val="00412F06"/>
    <w:rsid w:val="004155D0"/>
    <w:rsid w:val="00435CBF"/>
    <w:rsid w:val="00464F0E"/>
    <w:rsid w:val="0048500C"/>
    <w:rsid w:val="004938CF"/>
    <w:rsid w:val="004F5675"/>
    <w:rsid w:val="005D4B46"/>
    <w:rsid w:val="00631107"/>
    <w:rsid w:val="00642925"/>
    <w:rsid w:val="006D28A3"/>
    <w:rsid w:val="00715778"/>
    <w:rsid w:val="00720D4C"/>
    <w:rsid w:val="0079346C"/>
    <w:rsid w:val="007C384B"/>
    <w:rsid w:val="00806272"/>
    <w:rsid w:val="008075BD"/>
    <w:rsid w:val="00861CAE"/>
    <w:rsid w:val="008B6E14"/>
    <w:rsid w:val="008E5B0F"/>
    <w:rsid w:val="008F4930"/>
    <w:rsid w:val="008F5852"/>
    <w:rsid w:val="00923870"/>
    <w:rsid w:val="00945559"/>
    <w:rsid w:val="00950D02"/>
    <w:rsid w:val="00985568"/>
    <w:rsid w:val="009B5235"/>
    <w:rsid w:val="009C2B40"/>
    <w:rsid w:val="00A3353A"/>
    <w:rsid w:val="00A97EC3"/>
    <w:rsid w:val="00AA1D8D"/>
    <w:rsid w:val="00B039BE"/>
    <w:rsid w:val="00B47730"/>
    <w:rsid w:val="00B5755F"/>
    <w:rsid w:val="00B81F24"/>
    <w:rsid w:val="00BB6441"/>
    <w:rsid w:val="00BE084F"/>
    <w:rsid w:val="00C435ED"/>
    <w:rsid w:val="00C77B30"/>
    <w:rsid w:val="00CB0664"/>
    <w:rsid w:val="00D37968"/>
    <w:rsid w:val="00D50306"/>
    <w:rsid w:val="00D77CC9"/>
    <w:rsid w:val="00D962D2"/>
    <w:rsid w:val="00DB6530"/>
    <w:rsid w:val="00DC011A"/>
    <w:rsid w:val="00E87F01"/>
    <w:rsid w:val="00EE2E4D"/>
    <w:rsid w:val="00EE65C7"/>
    <w:rsid w:val="00F23DA5"/>
    <w:rsid w:val="00F32900"/>
    <w:rsid w:val="00F96214"/>
    <w:rsid w:val="00FC693F"/>
    <w:rsid w:val="035C3DFA"/>
    <w:rsid w:val="13BB37EC"/>
    <w:rsid w:val="723A6E8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18"/>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7365D"/>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595959"/>
      <w:sz w:val="24"/>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1101</Words>
  <Characters>5903</Characters>
  <Lines>48</Lines>
  <Paragraphs>13</Paragraphs>
  <TotalTime>56</TotalTime>
  <ScaleCrop>false</ScaleCrop>
  <LinksUpToDate>false</LinksUpToDate>
  <CharactersWithSpaces>6809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2026-08-12T10:19:00Z</dcterms:created>
  <dc:creator>Singh, Shivam</dc:creator>
  <dc:description>generated by python-docx</dc:description>
  <cp:lastModifiedBy>Administrator</cp:lastModifiedBy>
  <cp:lastPrinted>2026-08-12T09:14:00Z</cp:lastPrinted>
  <dcterms:modified xsi:type="dcterms:W3CDTF">2026-09-17T06:00:00Z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eyJoZGlkIjoiMjQxNjNjNjI2MmE0N2VhNDQ5YzA3ZWYwYjY0MzZmYTkifQ==</vt:lpwstr>
  </property>
  <property fmtid="{D5CDD505-2E9C-101B-9397-08002B2CF9AE}" pid="3" name="KSOProductBuildVer">
    <vt:lpwstr>1033-12.1.0.28485</vt:lpwstr>
  </property>
  <property fmtid="{D5CDD505-2E9C-101B-9397-08002B2CF9AE}" pid="4" name="ICV">
    <vt:lpwstr>98A0721B1687497DA2989F4455A446B7_12</vt:lpwstr>
  </property>
</Properties>
</file>