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EFDC6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>
        <w:rPr>
          <w:rFonts w:asciiTheme="majorHAnsi" w:hAnsiTheme="majorHAnsi" w:cstheme="majorHAnsi"/>
          <w:b/>
          <w:bCs/>
          <w:color w:val="17365D"/>
          <w:sz w:val="20"/>
          <w:szCs w:val="20"/>
        </w:rPr>
        <w:br w:type="textWrapping"/>
        <w:t xml:space="preserve">Weekly OEE Insight Report - Shree Packer 1, Shree Packer 2, Shree Packer 3, Shree Packer 4</w:t>
      </w:r>
      <w:r>
        <w:rPr>
          <w:rFonts w:asciiTheme="majorHAnsi" w:hAnsiTheme="majorHAnsi" w:cstheme="majorHAnsi"/>
          <w:b/>
          <w:bCs/>
          <w:color w:val="17365D"/>
          <w:sz w:val="20"/>
          <w:szCs w:val="20"/>
        </w:rPr>
        <w:t>Weekly OEE Insight Report - Fillpac 1 &amp; 2 (Packer 1 + Packer 2)</w:t>
      </w:r>
      <w:r>
        <w:rPr>
          <w:rFonts w:asciiTheme="majorHAnsi" w:hAnsiTheme="majorHAnsi" w:cstheme="majorHAnsi"/>
          <w:b/>
          <w:bCs/>
          <w:color w:val="595959"/>
          <w:sz w:val="20"/>
          <w:szCs w:val="20"/>
        </w:rPr>
        <w:br w:type="textWrapping"/>
        <w:t xml:space="preserve">Weekly executive summary with quantified insights, loss drivers and action priorities</w:t>
      </w:r>
      <w:r>
        <w:rPr>
          <w:rFonts w:asciiTheme="majorHAnsi" w:hAnsiTheme="majorHAnsi" w:cstheme="majorHAnsi"/>
          <w:color w:val="646464"/>
          <w:sz w:val="20"/>
          <w:szCs w:val="20"/>
        </w:rPr>
        <w:t>Weekly executive summary with quantified insights, loss drivers and action priorities</w:t>
      </w:r>
      <w:r>
        <w:rPr>
          <w:rFonts w:asciiTheme="majorHAnsi" w:hAnsiTheme="majorHAnsi" w:cstheme="majorHAnsi"/>
          <w:color w:val="646464"/>
          <w:sz w:val="20"/>
          <w:szCs w:val="20"/>
        </w:rPr>
        <w:br w:type="textWrapping"/>
        <w:t xml:space="preserve">Report Week: Week 9</w:t>
      </w:r>
      <w:r>
        <w:br/>
      </w:r>
      <w:r>
        <w:rPr>
          <w:color w:val="646464"/>
          <w:sz w:val="20"/>
        </w:rPr>
        <w:t>Start Date: 23rd February 2026     End Date: 2nd March 2026</w:t>
      </w:r>
    </w:p>
    <w:p w14:paraId="69AFF032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97EE0C4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>
        <w:rPr>
          <w:rFonts w:asciiTheme="majorHAnsi" w:hAnsiTheme="majorHAnsi" w:cstheme="majorHAnsi"/>
          <w:sz w:val="20"/>
          <w:szCs w:val="20"/>
        </w:rPr>
        <w:drawing>
          <wp:inline distT="0" distB="0" distL="0" distR="0">
            <wp:extent cx="5621020" cy="3748405"/>
            <wp:effectExtent l="0" t="0" r="0" b="4445"/>
            <wp:docPr id="1421391283" name="Picture 142139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91283" name="Picture 14213912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2180" cy="376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A2C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C92C9D3">
      <w:pPr>
        <w:spacing w:before="120" w:after="60"/>
        <w:rPr>
          <w:rFonts w:asciiTheme="majorHAnsi" w:hAnsiTheme="majorHAnsi" w:cstheme="majorHAnsi"/>
          <w:b/>
          <w:bCs/>
          <w:color w:val="17365D"/>
          <w:sz w:val="32"/>
          <w:szCs w:val="32"/>
        </w:rPr>
      </w:pPr>
      <w:r>
        <w:rPr>
          <w:rFonts w:asciiTheme="majorHAnsi" w:hAnsiTheme="majorHAnsi" w:cstheme="majorHAnsi"/>
          <w:b/>
          <w:bCs/>
          <w:color w:val="17365D"/>
          <w:sz w:val="32"/>
          <w:szCs w:val="32"/>
        </w:rPr>
        <w:t>Contents</w:t>
      </w:r>
    </w:p>
    <w:p w14:paraId="46556A03">
      <w:pPr>
        <w:spacing w:before="120" w:after="60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tbl>
      <w:tblPr>
        <w:tblStyle w:val="35"/>
        <w:tblW w:w="0" w:type="auto"/>
        <w:tblInd w:w="13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4669"/>
        <w:gridCol w:w="1134"/>
      </w:tblGrid>
      <w:tr w14:paraId="7502B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0BE12">
            <w:pPr>
              <w:spacing w:after="0" w:line="240" w:lineRule="auto"/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669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88F3B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Main heading</w:t>
            </w:r>
          </w:p>
        </w:tc>
        <w:tc>
          <w:tcPr>
            <w:tcW w:w="1134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BAA5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14:paraId="61B8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71B70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8615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Executive Insight Dashboard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B048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</w:tr>
      <w:tr w14:paraId="35FC1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AE72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31231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Why OEE Is Going Down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DDD3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  <w:tr w14:paraId="1AFD0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D238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8CA88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Quality, Fault Risk and Improvement Opportunity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EB11B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</w:t>
            </w:r>
          </w:p>
        </w:tc>
      </w:tr>
      <w:tr w14:paraId="1FAD1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C098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6ADCE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Action Plan: What to Do Next Week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67401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</w:t>
            </w:r>
          </w:p>
        </w:tc>
      </w:tr>
      <w:tr w14:paraId="6E16D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FE639">
            <w:pPr>
              <w:spacing w:after="0" w:line="240" w:lineRule="auto"/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</w:p>
        </w:tc>
        <w:tc>
          <w:tcPr>
            <w:tcW w:w="46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FD579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D68B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ED9EDF7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6C566E3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33B8080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0161D719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86DD364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40BE8C8C">
      <w:pPr>
        <w:pStyle w:val="2"/>
        <w:pageBreakBefore/>
      </w:pPr>
      <w:r>
        <w:rPr>
          <w:b/>
          <w:sz w:val="30"/>
        </w:rPr>
        <w:t>1. Executive Insight Dashboard</w:t>
      </w:r>
    </w:p>
    <w:p w14:paraId="6922A11C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This page explains the verified OEE results in plain language for operations, maintenance and management users.</w:t>
      </w:r>
    </w:p>
    <w:p w14:paraId="0C099A7B">
      <w:pPr>
        <w:rPr>
          <w:kern w:val="2"/>
          <w:szCs w:val="18"/>
          <w:lang w:val="en-IN" w:eastAsia="en-IN"/>
          <w14:ligatures w14:val="standardContextual"/>
        </w:rPr>
      </w:pPr>
      <w:r>
        <w:rPr>
          <w:b/>
          <w:sz w:val="22"/>
        </w:rPr>
        <w:t>Summary</w:t>
      </w:r>
    </w:p>
    <w:p w14:paraId="3ED8B704">
      <w:pPr>
        <w:rPr>
          <w:b/>
          <w:bCs/>
          <w:kern w:val="2"/>
          <w:sz w:val="20"/>
          <w:szCs w:val="20"/>
          <w:u w:val="single"/>
          <w:lang w:val="en-IN" w:eastAsia="en-IN"/>
          <w14:ligatures w14:val="standardContextual"/>
        </w:rPr>
      </w:pPr>
      <w:r>
        <w:rPr>
          <w:b w:val="0"/>
          <w:sz w:val="18"/>
        </w:rPr>
        <w:t>Fillpac 1 &amp; 2 (Packer 1 + Packer 2) has an OEE of 28.77%, classified as Critical. Performance is the weakest KPI at 29.95%, while Quality remains strongest at 98.28%.</w:t>
      </w:r>
    </w:p>
    <w:p w14:paraId="708BAF99">
      <w:pPr>
        <w:jc w:val="center"/>
        <w:rPr>
          <w:rFonts w:asciiTheme="majorHAnsi" w:hAnsiTheme="majorHAnsi" w:cstheme="majorHAns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799965" cy="2616546"/>
            <wp:docPr id="1421391293" name="Picture 1421391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scorec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26165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3544"/>
        <w:gridCol w:w="3543"/>
      </w:tblGrid>
      <w:tr w14:paraId="6A197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3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D99594" w:themeFill="accent2" w:themeFillTint="99"/>
          </w:tcPr>
          <w:p w14:paraId="6DF6E4E9">
            <w:pPr>
              <w:spacing w:after="0" w:line="240" w:lineRule="auto"/>
            </w:pPr>
            <w:r>
              <w:rPr>
                <w:b/>
                <w:sz w:val="16"/>
              </w:rPr>
              <w:t>1. Main loss driver</w:t>
            </w:r>
            <w:r>
              <w:rPr>
                <w:b/>
                <w:sz w:val="16"/>
              </w:rPr>
              <w:br w:type="textWrapping"/>
            </w:r>
            <w:r>
              <w:rPr>
                <w:b w:val="0"/>
                <w:sz w:val="16"/>
              </w:rPr>
              <w:t>Performance is the weakest KPI at 29.95%. Fillpac 1 Main Drive Stop accounts for 3423.12 minutes of the 0.00 minutes of recorded availability loss this week.</w:t>
            </w:r>
          </w:p>
        </w:tc>
        <w:tc>
          <w:tcPr>
            <w:tcW w:w="3544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</w:tcPr>
          <w:p w14:paraId="5493DEAB">
            <w:pPr>
              <w:spacing w:after="0" w:line="240" w:lineRule="auto"/>
            </w:pPr>
            <w:r>
              <w:rPr>
                <w:b/>
                <w:sz w:val="16"/>
              </w:rPr>
              <w:t>2. Performance is a concern</w:t>
            </w:r>
            <w:r>
              <w:rPr>
                <w:b/>
                <w:sz w:val="16"/>
              </w:rPr>
              <w:br w:type="textWrapping"/>
            </w:r>
            <w:r>
              <w:rPr>
                <w:b w:val="0"/>
                <w:sz w:val="16"/>
              </w:rPr>
              <w:t>Performance is 29.95%. Actual good-bag production was 474,589 bags against 1,584,829 bags expected.</w:t>
            </w:r>
          </w:p>
        </w:tc>
        <w:tc>
          <w:tcPr>
            <w:tcW w:w="3543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</w:tcPr>
          <w:p w14:paraId="186A9F33">
            <w:pPr>
              <w:spacing w:after="0" w:line="240" w:lineRule="auto"/>
            </w:pPr>
            <w:r>
              <w:rPr>
                <w:b/>
                <w:sz w:val="16"/>
              </w:rPr>
              <w:t>3. Quality is the strongest KPI</w:t>
            </w:r>
            <w:r>
              <w:rPr>
                <w:b/>
                <w:sz w:val="16"/>
              </w:rPr>
              <w:br w:type="textWrapping"/>
            </w:r>
            <w:r>
              <w:rPr>
                <w:b w:val="0"/>
                <w:sz w:val="16"/>
              </w:rPr>
              <w:t>Quality is 98.28%. Biggest quality focus is Out of Limit Bags at 5475 bags (1.13% of total bags produced).</w:t>
            </w:r>
          </w:p>
        </w:tc>
      </w:tr>
    </w:tbl>
    <w:p w14:paraId="4C3077EF">
      <w:pPr>
        <w:spacing w:before="120" w:after="60"/>
        <w:rPr>
          <w:kern w:val="2"/>
          <w:sz w:val="24"/>
          <w:szCs w:val="24"/>
          <w:lang w:val="en-IN" w:eastAsia="en-IN"/>
          <w14:ligatures w14:val="standardContextual"/>
        </w:rPr>
      </w:pPr>
      <w:r>
        <w:rPr>
          <w:rFonts w:ascii="Calibri" w:hAnsi="Calibri" w:cs="Calibri"/>
          <w:b/>
          <w:bCs/>
          <w:color w:val="17365D"/>
          <w:sz w:val="24"/>
          <w:szCs w:val="24"/>
        </w:rPr>
        <w:t>KPI Scorecard vs Industry Standard</w:t>
      </w: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40"/>
        <w:gridCol w:w="1595"/>
        <w:gridCol w:w="1971"/>
        <w:gridCol w:w="5066"/>
      </w:tblGrid>
      <w:tr w14:paraId="1814A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5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C618A">
            <w:pPr>
              <w:spacing w:after="0" w:line="240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80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6DA67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2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57137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Industry standard</w:t>
            </w:r>
          </w:p>
        </w:tc>
        <w:tc>
          <w:tcPr>
            <w:tcW w:w="25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535F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2228F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85% world-class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OEE for Shree Packer 1, Shree Packer 2, Shree Packer 3, Shree Packer 4 in week 9 is 0.00%, classified as Critical.</w:t>
            </w:r>
          </w:p>
        </w:tc>
      </w:tr>
      <w:tr w14:paraId="2228F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90%+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Availability is 0.00%, with 0.00 min of availability loss out of 0.00 min planned.</w:t>
            </w:r>
          </w:p>
        </w:tc>
      </w:tr>
      <w:tr w14:paraId="2228F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95%+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 is 0.00%.</w:t>
            </w:r>
          </w:p>
        </w:tc>
      </w:tr>
      <w:tr w14:paraId="2228F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99.9%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 is 0.00%, with 0 good bags out of 0 produced.</w:t>
            </w:r>
          </w:p>
        </w:tc>
      </w:tr>
    </w:tbl>
    <w:p w14:paraId="46EAFA3B">
      <w:pPr>
        <w:spacing w:before="120" w:after="60"/>
        <w:rPr>
          <w:kern w:val="2"/>
          <w:sz w:val="24"/>
          <w:szCs w:val="24"/>
          <w:lang w:val="en-IN" w:eastAsia="en-IN"/>
          <w14:ligatures w14:val="standardContextual"/>
        </w:rPr>
      </w:pPr>
      <w:r>
        <w:rPr>
          <w:b/>
          <w:sz w:val="22"/>
        </w:rPr>
        <w:t>Week 8 vs Week 9 Comparison</w:t>
      </w: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2"/>
        <w:gridCol w:w="1193"/>
        <w:gridCol w:w="1193"/>
        <w:gridCol w:w="1244"/>
        <w:gridCol w:w="5480"/>
      </w:tblGrid>
      <w:tr w14:paraId="1A098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BB27E">
            <w:pPr>
              <w:spacing w:after="0" w:line="240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 / Parameter</w:t>
            </w:r>
          </w:p>
        </w:tc>
        <w:tc>
          <w:tcPr>
            <w:tcW w:w="16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/>
                <w:sz w:val="16"/>
              </w:rPr>
              <w:t>Week 8</w:t>
            </w:r>
          </w:p>
        </w:tc>
        <w:tc>
          <w:tcPr>
            <w:tcW w:w="16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/>
                <w:sz w:val="16"/>
              </w:rPr>
              <w:t>Week 9</w:t>
            </w:r>
          </w:p>
        </w:tc>
        <w:tc>
          <w:tcPr>
            <w:tcW w:w="16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825B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3750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BE553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Management insight</w:t>
            </w:r>
          </w:p>
        </w:tc>
      </w:tr>
      <w:tr w14:paraId="2749E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No prior data</w:t>
            </w:r>
          </w:p>
        </w:tc>
      </w:tr>
      <w:tr w14:paraId="2749E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No prior data</w:t>
            </w:r>
          </w:p>
        </w:tc>
      </w:tr>
      <w:tr w14:paraId="2749E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No prior data</w:t>
            </w:r>
          </w:p>
        </w:tc>
      </w:tr>
      <w:tr w14:paraId="2749E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No prior data</w:t>
            </w:r>
          </w:p>
        </w:tc>
      </w:tr>
    </w:tbl>
    <w:p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 w14:paraId="40954E7C"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 w14:paraId="7D178BB2">
      <w:pPr>
        <w:rPr>
          <w:kern w:val="2"/>
          <w:szCs w:val="18"/>
          <w:lang w:val="en-IN" w:eastAsia="en-IN"/>
          <w14:ligatures w14:val="standardContextual"/>
        </w:rPr>
      </w:pPr>
    </w:p>
    <w:p w14:paraId="35E12FBC">
      <w:pPr>
        <w:pStyle w:val="2"/>
        <w:pageBreakBefore/>
      </w:pPr>
      <w:r>
        <w:rPr>
          <w:b/>
          <w:sz w:val="30"/>
        </w:rPr>
        <w:t>2. Why OEE Is Going Down</w:t>
      </w:r>
    </w:p>
    <w:p w14:paraId="1AF11398">
      <w:pPr>
        <w:spacing w:after="100"/>
        <w:rPr>
          <w:rFonts w:asciiTheme="majorHAnsi" w:hAnsiTheme="majorHAnsi" w:cstheme="majorHAnsi"/>
          <w:sz w:val="20"/>
          <w:szCs w:val="20"/>
        </w:rPr>
      </w:pPr>
    </w:p>
    <w:tbl>
      <w:tblPr>
        <w:tblStyle w:val="35"/>
        <w:tblW w:w="106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2848"/>
        <w:gridCol w:w="2129"/>
        <w:gridCol w:w="2129"/>
        <w:gridCol w:w="2130"/>
      </w:tblGrid>
      <w:tr w14:paraId="42BC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70710DF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84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3C31AE6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 / parameter</w:t>
            </w:r>
          </w:p>
        </w:tc>
        <w:tc>
          <w:tcPr>
            <w:tcW w:w="212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8FC47A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Loss</w:t>
            </w:r>
          </w:p>
        </w:tc>
        <w:tc>
          <w:tcPr>
            <w:tcW w:w="212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6155F89B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Insight from data</w:t>
            </w:r>
          </w:p>
        </w:tc>
        <w:tc>
          <w:tcPr>
            <w:tcW w:w="213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3A2F46D3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Immediate action</w:t>
            </w:r>
          </w:p>
        </w:tc>
      </w:tr>
      <w:tr w14:paraId="0E3E2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46" w:type="dxa"/>
            <w:gridSpan w:val="5"/>
            <w:tcBorders>
              <w:top w:val="single" w:color="C00000" w:sz="14" w:space="0"/>
              <w:left w:val="single" w:color="C00000" w:sz="14" w:space="0"/>
              <w:bottom w:val="single" w:color="C00000" w:sz="14" w:space="0"/>
              <w:right w:val="single" w:color="C00000" w:sz="14" w:space="0"/>
            </w:tcBorders>
            <w:shd w:val="clear" w:color="auto" w:fill="FCE4D6"/>
          </w:tcPr>
          <w:p>
            <w:r/>
            <w:r>
              <w:rPr>
                <w:b w:val="0"/>
                <w:sz w:val="16"/>
              </w:rPr>
              <w:t>Decision point</w:t>
              <w:br/>
              <w:t>No downtime contributors were recorded this week.</w:t>
            </w:r>
          </w:p>
        </w:tc>
      </w:tr>
    </w:tbl>
    <w:p w14:paraId="26820D6F">
      <w:pPr>
        <w:pStyle w:val="2"/>
        <w:rPr>
          <w:kern w:val="36"/>
          <w:szCs w:val="30"/>
          <w:lang w:val="en-IN" w:eastAsia="en-IN"/>
          <w14:ligatures w14:val="standardContextual"/>
        </w:rPr>
      </w:pPr>
      <w:r>
        <w:rPr>
          <w:b/>
          <w:sz w:val="22"/>
        </w:rPr>
        <w:t>2.1 Shift Changeover Delay Time - Week 9</w:t>
      </w:r>
    </w:p>
    <w:p w14:paraId="04D107EC">
      <w:pPr>
        <w:spacing w:after="100"/>
        <w:rPr>
          <w:kern w:val="2"/>
          <w:szCs w:val="18"/>
          <w:lang w:val="en-IN" w:eastAsia="en-IN"/>
          <w14:ligatures w14:val="standardContextual"/>
        </w:rPr>
      </w:pPr>
      <w:r>
        <w:rPr>
          <w:b w:val="0"/>
          <w:sz w:val="18"/>
        </w:rPr>
        <w:t>Shift changeover delay is a controllable availability loss. Week 9 data show delay time during handover and start-up stabilization.</w:t>
      </w:r>
    </w:p>
    <w:tbl>
      <w:tblPr>
        <w:tblStyle w:val="35"/>
        <w:tblW w:w="0" w:type="auto"/>
        <w:tblInd w:w="20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98"/>
        <w:gridCol w:w="1798"/>
      </w:tblGrid>
      <w:tr w14:paraId="37951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39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076F4">
            <w:pPr>
              <w:spacing w:after="0" w:line="240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Shift changeover</w:t>
            </w:r>
          </w:p>
        </w:tc>
        <w:tc>
          <w:tcPr>
            <w:tcW w:w="1798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04E8D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Delay time</w:t>
            </w:r>
          </w:p>
        </w:tc>
      </w:tr>
      <w:tr w14:paraId="341FA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Shift A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0.00 min</w:t>
            </w:r>
          </w:p>
        </w:tc>
      </w:tr>
      <w:tr w14:paraId="6B90D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Shift B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0.00 min</w:t>
            </w:r>
          </w:p>
        </w:tc>
      </w:tr>
      <w:tr w14:paraId="3AB51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Shift C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0.00 min</w:t>
            </w:r>
          </w:p>
        </w:tc>
      </w:tr>
      <w:tr w14:paraId="61375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Total Week 9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0.00 min</w:t>
            </w:r>
          </w:p>
        </w:tc>
      </w:tr>
    </w:tbl>
    <w:p w14:paraId="21348B6B">
      <w:pPr>
        <w:rPr>
          <w:kern w:val="2"/>
          <w:szCs w:val="18"/>
          <w:lang w:val="en-IN" w:eastAsia="en-IN"/>
          <w14:ligatures w14:val="standardContextual"/>
        </w:rPr>
      </w:pPr>
    </w:p>
    <w:p w14:paraId="02703B90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br w:type="page"/>
      </w:r>
    </w:p>
    <w:p>
      <w:r>
        <w:rPr>
          <w:b/>
          <w:sz w:val="22"/>
        </w:rPr>
        <w:t>2.2 Spout Downtime by Machine - Week 9</w:t>
      </w:r>
    </w:p>
    <w:p>
      <w:r>
        <w:rPr>
          <w:b w:val="0"/>
          <w:sz w:val="18"/>
        </w:rPr>
        <w:t>Spout-level downtime highlights which individual spouts are driving each machine's Spout Fault minutes, so maintenance can target the specific spouts responsible rather than the machine as a whole.</w:t>
      </w:r>
    </w:p>
    <w:p>
      <w:r>
        <w:rPr>
          <w:b/>
          <w:sz w:val="18"/>
        </w:rPr>
        <w:t>Shree Packer 1 (PLC_01)</w:t>
      </w:r>
    </w:p>
    <w:p>
      <w:r>
        <w:drawing>
          <wp:inline xmlns:a="http://schemas.openxmlformats.org/drawingml/2006/main" xmlns:pic="http://schemas.openxmlformats.org/drawingml/2006/picture">
            <wp:extent cx="5500000" cy="2722222"/>
            <wp:docPr id="1421391289" name="Picture 1421391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72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Shree Packer 2 (PLC_02)</w:t>
      </w:r>
    </w:p>
    <w:p>
      <w:r>
        <w:drawing>
          <wp:inline xmlns:a="http://schemas.openxmlformats.org/drawingml/2006/main" xmlns:pic="http://schemas.openxmlformats.org/drawingml/2006/picture">
            <wp:extent cx="5500000" cy="2722222"/>
            <wp:docPr id="1421391290" name="Picture 1421391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72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Shree Packer 3 (PLC_03)</w:t>
      </w:r>
    </w:p>
    <w:p>
      <w:r>
        <w:drawing>
          <wp:inline xmlns:a="http://schemas.openxmlformats.org/drawingml/2006/main" xmlns:pic="http://schemas.openxmlformats.org/drawingml/2006/picture">
            <wp:extent cx="5500000" cy="2722222"/>
            <wp:docPr id="1421391291" name="Picture 1421391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72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Shree Packer 4 (PLC_04)</w:t>
      </w:r>
    </w:p>
    <w:p>
      <w:r>
        <w:drawing>
          <wp:inline xmlns:a="http://schemas.openxmlformats.org/drawingml/2006/main" xmlns:pic="http://schemas.openxmlformats.org/drawingml/2006/picture">
            <wp:extent cx="5500000" cy="2722222"/>
            <wp:docPr id="1421391292" name="Picture 1421391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7222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A9C33A">
      <w:pPr>
        <w:pStyle w:val="2"/>
        <w:pageBreakBefore/>
      </w:pPr>
      <w:r>
        <w:rPr>
          <w:b/>
          <w:sz w:val="30"/>
        </w:rPr>
        <w:t>3. Quality, Fault Risk and Improvement Opportunity</w:t>
      </w:r>
    </w:p>
    <w:p w14:paraId="59B35F96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Out of Limit Bags is the largest quality-loss cause at 5475.00 bags, out of 8324.00 total quality-loss bags (1.72% of production).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2553"/>
        <w:gridCol w:w="1158"/>
        <w:gridCol w:w="446"/>
        <w:gridCol w:w="2546"/>
        <w:gridCol w:w="2118"/>
      </w:tblGrid>
      <w:tr w14:paraId="326A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5637" w:type="dxa"/>
          <w:jc w:val="center"/>
        </w:trPr>
        <w:tc>
          <w:tcPr>
            <w:tcW w:w="5009" w:type="dxa"/>
            <w:gridSpan w:val="3"/>
            <w:shd w:val="clear" w:color="auto" w:fill="D9EAF7"/>
            <w:vAlign w:val="center"/>
          </w:tcPr>
          <w:p w14:paraId="5166F45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17365D"/>
                <w:sz w:val="20"/>
                <w:szCs w:val="20"/>
              </w:rPr>
              <w:t>Quality Loss Mix</w:t>
            </w:r>
          </w:p>
        </w:tc>
      </w:tr>
      <w:tr w14:paraId="2310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5637" w:type="dxa"/>
          <w:jc w:val="center"/>
        </w:trPr>
        <w:tc>
          <w:tcPr>
            <w:tcW w:w="5009" w:type="dxa"/>
            <w:gridSpan w:val="3"/>
          </w:tcPr>
          <w:p w14:paraId="38D616BB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drawing>
                <wp:inline distT="0" distB="0" distL="114300" distR="114300">
                  <wp:extent cx="3403600" cy="2075180"/>
                  <wp:effectExtent l="0" t="0" r="0" b="0"/>
                  <wp:docPr id="1421391286" name="Picture 1421391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391286" name="Picture 142139128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201" cy="207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EA9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3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95A9B5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98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04057BA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701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73DA5E61">
            <w:pPr>
              <w:spacing w:after="0" w:line="240" w:lineRule="auto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280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FDD0D2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23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3E4ED91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Control action</w:t>
            </w:r>
          </w:p>
        </w:tc>
      </w:tr>
      <w:tr w14:paraId="2D180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46" w:type="dxa"/>
            <w:gridSpan w:val="6"/>
            <w:tcBorders>
              <w:top w:val="single" w:color="FFC000" w:sz="14" w:space="0"/>
              <w:left w:val="single" w:color="FFC000" w:sz="14" w:space="0"/>
              <w:bottom w:val="single" w:color="FFC000" w:sz="14" w:space="0"/>
              <w:right w:val="single" w:color="FFC000" w:sz="14" w:space="0"/>
            </w:tcBorders>
            <w:shd w:val="clear" w:color="auto" w:fill="FFF2CC"/>
          </w:tcPr>
          <w:p>
            <w:r/>
            <w:r>
              <w:rPr>
                <w:b/>
                <w:sz w:val="16"/>
              </w:rPr>
              <w:t>Quality insight</w:t>
              <w:br/>
            </w:r>
            <w:r>
              <w:rPr>
                <w:b w:val="0"/>
                <w:sz w:val="16"/>
              </w:rPr>
              <w:t>No quality loss was recorded this week.</w:t>
            </w:r>
          </w:p>
        </w:tc>
      </w:tr>
    </w:tbl>
    <w:p w14:paraId="26394A5C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6E81DF87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446EF16E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417F63E3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44E17202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794EFE99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608F6524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3333CD9E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451CDBDB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35F3C92E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2C27E2BA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3D4F0E6C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29672A01">
      <w:pPr>
        <w:pStyle w:val="2"/>
        <w:pageBreakBefore/>
      </w:pPr>
      <w:r>
        <w:rPr>
          <w:b/>
          <w:sz w:val="30"/>
        </w:rPr>
        <w:t>4. Action Plan: What to Do Next Week</w:t>
      </w:r>
    </w:p>
    <w:p w14:paraId="75C331B7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Actions are prioritized from the verified OEE losses and AI-generated recommendations.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888"/>
        <w:gridCol w:w="887"/>
        <w:gridCol w:w="1772"/>
        <w:gridCol w:w="1773"/>
        <w:gridCol w:w="888"/>
        <w:gridCol w:w="886"/>
        <w:gridCol w:w="1773"/>
      </w:tblGrid>
      <w:tr w14:paraId="41B69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7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C573303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75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184CEB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77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A02F9B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</w:t>
            </w:r>
          </w:p>
        </w:tc>
        <w:tc>
          <w:tcPr>
            <w:tcW w:w="177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3F3405C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74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49CD902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Success measure</w:t>
            </w:r>
          </w:p>
        </w:tc>
        <w:tc>
          <w:tcPr>
            <w:tcW w:w="177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6E1F4C1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Review frequency</w:t>
            </w:r>
          </w:p>
        </w:tc>
      </w:tr>
      <w:tr w14:paraId="5BDE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61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771A1F1D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If action is completed</w:t>
            </w:r>
          </w:p>
        </w:tc>
        <w:tc>
          <w:tcPr>
            <w:tcW w:w="2659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40289D9C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Expected change</w:t>
            </w:r>
          </w:p>
        </w:tc>
        <w:tc>
          <w:tcPr>
            <w:tcW w:w="2661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7133501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Approx. OEE result</w:t>
            </w:r>
          </w:p>
        </w:tc>
        <w:tc>
          <w:tcPr>
            <w:tcW w:w="2659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7365D"/>
            <w:vAlign w:val="center"/>
          </w:tcPr>
          <w:p w14:paraId="5894B48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Management decision</w:t>
            </w:r>
          </w:p>
        </w:tc>
      </w:tr>
      <w:tr w14:paraId="0490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Top loss reduced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improves first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~38.25%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Continue the countermeasure until stable</w:t>
            </w:r>
          </w:p>
        </w:tc>
      </w:tr>
      <w:tr w14:paraId="57FDF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Top losses addressed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Near-target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~63.75%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Shift focus to the next-largest quality contributor</w:t>
            </w:r>
          </w:p>
        </w:tc>
      </w:tr>
      <w:tr w14:paraId="63213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stable + quality improved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~85.00%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Standardize the new checks into SOP</w:t>
            </w:r>
          </w:p>
        </w:tc>
      </w:tr>
    </w:tbl>
    <w:p w14:paraId="492CCDD6">
      <w:pPr>
        <w:rPr>
          <w:rFonts w:asciiTheme="majorHAnsi" w:hAnsiTheme="majorHAnsi" w:cstheme="majorHAnsi"/>
          <w:sz w:val="20"/>
          <w:szCs w:val="20"/>
        </w:rPr>
      </w:pPr>
    </w:p>
    <w:p w14:paraId="1F977CE8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54AF9E39">
      <w:pPr>
        <w:jc w:val="center"/>
      </w:pPr>
      <w:r>
        <w:drawing>
          <wp:inline distT="0" distB="0" distL="114300" distR="114300">
            <wp:extent cx="3599815" cy="2183765"/>
            <wp:effectExtent l="0" t="0" r="0" b="0"/>
            <wp:docPr id="1421391288" name="Picture 1421391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91288" name="Picture 142139128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8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720" w:right="792" w:bottom="720" w:left="792" w:header="907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u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DF98D">
    <w:pPr>
      <w:pStyle w:val="18"/>
      <w:jc w:val="center"/>
    </w:pPr>
    <w:r>
      <w:rPr>
        <w:sz w:val="14"/>
      </w:rPr>
      <w:t>Shree Packer 1, Shree Packer 2, Shree Packer 3, Shree Packer 4 | Week 9 | Previous Week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26E7C">
    <w:pPr>
      <w:pStyle w:val="19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5050790</wp:posOffset>
          </wp:positionH>
          <wp:positionV relativeFrom="paragraph">
            <wp:posOffset>-412750</wp:posOffset>
          </wp:positionV>
          <wp:extent cx="1711325" cy="406400"/>
          <wp:effectExtent l="0" t="0" r="3175" b="0"/>
          <wp:wrapThrough wrapText="bothSides">
            <wp:wrapPolygon>
              <wp:start x="0" y="0"/>
              <wp:lineTo x="0" y="20250"/>
              <wp:lineTo x="21400" y="20250"/>
              <wp:lineTo x="21400" y="0"/>
              <wp:lineTo x="0" y="0"/>
            </wp:wrapPolygon>
          </wp:wrapThrough>
          <wp:docPr id="54" name="Picture 54" descr="C:\Users\in981848\Desktop\Airport\Projects\2016\116-060104 Hyderabad Departure Project\02 Quotation\09 Company Introduction\Logo_BEUMERGROUP_Originalfarbe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Picture 54" descr="C:\Users\in981848\Desktop\Airport\Projects\2016\116-060104 Hyderabad Departure Project\02 Quotation\09 Company Introduction\Logo_BEUMERGROUP_Originalfarbe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35"/>
                  <a:stretch>
                    <a:fillRect/>
                  </a:stretch>
                </pic:blipFill>
                <pic:spPr>
                  <a:xfrm>
                    <a:off x="0" y="0"/>
                    <a:ext cx="171132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right" w:leader="none"/>
    </w:r>
    <w:bookmarkStart w:id="0" w:name="_GoBack"/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-412750</wp:posOffset>
          </wp:positionV>
          <wp:extent cx="1208405" cy="406400"/>
          <wp:effectExtent l="0" t="0" r="10795" b="12700"/>
          <wp:wrapThrough wrapText="bothSides">
            <wp:wrapPolygon>
              <wp:start x="0" y="0"/>
              <wp:lineTo x="0" y="20250"/>
              <wp:lineTo x="21112" y="20250"/>
              <wp:lineTo x="21112" y="0"/>
              <wp:lineTo x="0" y="0"/>
            </wp:wrapPolygon>
          </wp:wrapThrough>
          <wp:docPr id="55" name="Picture 55" descr="C:/Users/Administrator/Downloads/262-2629860_one-of-the-top-5-cement-groups-in.png262-2629860_one-of-the-top-5-cement-groups-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 descr="C:/Users/Administrator/Downloads/262-2629860_one-of-the-top-5-cement-groups-in.png262-2629860_one-of-the-top-5-cement-groups-in"/>
                  <pic:cNvPicPr>
                    <a:picLocks noChangeAspect="1"/>
                  </pic:cNvPicPr>
                </pic:nvPicPr>
                <pic:blipFill>
                  <a:blip r:embed="rId2"/>
                  <a:srcRect l="10313" r="10313"/>
                  <a:stretch>
                    <a:fillRect/>
                  </a:stretch>
                </pic:blipFill>
                <pic:spPr>
                  <a:xfrm>
                    <a:off x="0" y="0"/>
                    <a:ext cx="1208398" cy="406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75C7"/>
    <w:rsid w:val="0006063C"/>
    <w:rsid w:val="00064E9C"/>
    <w:rsid w:val="000B58BA"/>
    <w:rsid w:val="00115E66"/>
    <w:rsid w:val="0015074B"/>
    <w:rsid w:val="001E2D16"/>
    <w:rsid w:val="00276070"/>
    <w:rsid w:val="002820A4"/>
    <w:rsid w:val="0029639D"/>
    <w:rsid w:val="00297BD8"/>
    <w:rsid w:val="003039C9"/>
    <w:rsid w:val="00326F90"/>
    <w:rsid w:val="003323EF"/>
    <w:rsid w:val="0039075D"/>
    <w:rsid w:val="003F51B6"/>
    <w:rsid w:val="00412F06"/>
    <w:rsid w:val="004155D0"/>
    <w:rsid w:val="00435CBF"/>
    <w:rsid w:val="00464F0E"/>
    <w:rsid w:val="0048500C"/>
    <w:rsid w:val="004938CF"/>
    <w:rsid w:val="004F5675"/>
    <w:rsid w:val="005D4B46"/>
    <w:rsid w:val="00631107"/>
    <w:rsid w:val="00642925"/>
    <w:rsid w:val="006D28A3"/>
    <w:rsid w:val="00715778"/>
    <w:rsid w:val="00720D4C"/>
    <w:rsid w:val="0079346C"/>
    <w:rsid w:val="007C384B"/>
    <w:rsid w:val="00806272"/>
    <w:rsid w:val="008075BD"/>
    <w:rsid w:val="00861CAE"/>
    <w:rsid w:val="008B6E14"/>
    <w:rsid w:val="008E5B0F"/>
    <w:rsid w:val="008F4930"/>
    <w:rsid w:val="008F5852"/>
    <w:rsid w:val="00923870"/>
    <w:rsid w:val="00945559"/>
    <w:rsid w:val="00950D02"/>
    <w:rsid w:val="00985568"/>
    <w:rsid w:val="009B5235"/>
    <w:rsid w:val="009C2B40"/>
    <w:rsid w:val="00A3353A"/>
    <w:rsid w:val="00A97EC3"/>
    <w:rsid w:val="00AA1D8D"/>
    <w:rsid w:val="00B039BE"/>
    <w:rsid w:val="00B47730"/>
    <w:rsid w:val="00B5755F"/>
    <w:rsid w:val="00B81F24"/>
    <w:rsid w:val="00BB6441"/>
    <w:rsid w:val="00BE084F"/>
    <w:rsid w:val="00C435ED"/>
    <w:rsid w:val="00C77B30"/>
    <w:rsid w:val="00CB0664"/>
    <w:rsid w:val="00D37968"/>
    <w:rsid w:val="00D50306"/>
    <w:rsid w:val="00D77CC9"/>
    <w:rsid w:val="00D962D2"/>
    <w:rsid w:val="00DB6530"/>
    <w:rsid w:val="00DC011A"/>
    <w:rsid w:val="00E87F01"/>
    <w:rsid w:val="00EE2E4D"/>
    <w:rsid w:val="00EE65C7"/>
    <w:rsid w:val="00F23DA5"/>
    <w:rsid w:val="00F32900"/>
    <w:rsid w:val="00F96214"/>
    <w:rsid w:val="00FC693F"/>
    <w:rsid w:val="1585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95959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197</Words>
  <Characters>978</Characters>
  <Lines>48</Lines>
  <Paragraphs>13</Paragraphs>
  <TotalTime>56</TotalTime>
  <ScaleCrop>false</ScaleCrop>
  <LinksUpToDate>false</LinksUpToDate>
  <CharactersWithSpaces>1149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2026-08-12T10:19:00Z</dcterms:created>
  <dc:creator>Singh, Shivam</dc:creator>
  <dc:description>generated by python-docx</dc:description>
  <cp:lastModifiedBy>Administrator</cp:lastModifiedBy>
  <cp:lastPrinted>2026-08-12T09:14:00Z</cp:lastPrinted>
  <dcterms:modified xsi:type="dcterms:W3CDTF">2026-09-17T03:19:51Z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eyJoZGlkIjoiMjQxNjNjNjI2MmE0N2VhNDQ5YzA3ZWYwYjY0MzZmYTkifQ==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C2C007E9B9A2479DA0D5125125FF7718_12</vt:lpwstr>
  </property>
</Properties>
</file>