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9EFDC6">
      <w:pPr>
        <w:jc w:val="center"/>
        <w:rPr>
          <w:rFonts w:asciiTheme="majorHAnsi" w:hAnsiTheme="majorHAnsi" w:cstheme="majorHAnsi"/>
          <w:kern w:val="2"/>
          <w:sz w:val="20"/>
          <w:szCs w:val="20"/>
          <w:lang w:val="en-IN" w:eastAsia="en-IN"/>
          <w14:ligatures w14:val="standardContextual"/>
        </w:rPr>
      </w:pPr>
      <w:r>
        <w:rPr>
          <w:rFonts w:asciiTheme="majorHAnsi" w:hAnsiTheme="majorHAnsi" w:cstheme="majorHAnsi"/>
          <w:b/>
          <w:bCs/>
          <w:color w:val="17365D"/>
          <w:sz w:val="20"/>
          <w:szCs w:val="20"/>
        </w:rPr>
        <w:br w:type="textWrapping"/>
      </w:r>
      <w:r>
        <w:rPr>
          <w:rFonts w:asciiTheme="majorHAnsi" w:hAnsiTheme="majorHAnsi" w:cstheme="majorHAnsi"/>
          <w:b/>
          <w:bCs/>
          <w:color w:val="17365D"/>
          <w:sz w:val="20"/>
          <w:szCs w:val="20"/>
        </w:rPr>
        <w:t xml:space="preserve">Weekly OEE Insight Report </w:t>
      </w:r>
      <w:r>
        <w:rPr>
          <w:rFonts w:asciiTheme="majorHAnsi" w:hAnsiTheme="majorHAnsi" w:cstheme="majorHAnsi"/>
          <w:b/>
          <w:bCs/>
          <w:color w:val="595959"/>
          <w:sz w:val="20"/>
          <w:szCs w:val="20"/>
        </w:rPr>
        <w:br w:type="textWrapping"/>
      </w:r>
      <w:r>
        <w:rPr>
          <w:rFonts w:asciiTheme="majorHAnsi" w:hAnsiTheme="majorHAnsi" w:cstheme="majorHAnsi"/>
          <w:color w:val="646464"/>
          <w:sz w:val="20"/>
          <w:szCs w:val="20"/>
        </w:rPr>
        <w:t>Weekly executive summary with quantified insights, loss drivers and action priorities</w:t>
      </w:r>
      <w:r>
        <w:rPr>
          <w:rFonts w:asciiTheme="majorHAnsi" w:hAnsiTheme="majorHAnsi" w:cstheme="majorHAnsi"/>
          <w:color w:val="646464"/>
          <w:sz w:val="20"/>
          <w:szCs w:val="20"/>
        </w:rPr>
        <w:br w:type="textWrapping"/>
      </w:r>
      <w:r>
        <w:rPr>
          <w:rFonts w:asciiTheme="majorHAnsi" w:hAnsiTheme="majorHAnsi" w:cstheme="majorHAnsi"/>
          <w:b/>
          <w:bCs/>
          <w:color w:val="17365D"/>
          <w:sz w:val="20"/>
          <w:szCs w:val="20"/>
        </w:rPr>
        <w:t>Report Week: Week 36</w:t>
      </w:r>
      <w:r>
        <w:br w:type="textWrapping"/>
      </w:r>
      <w:r>
        <w:rPr>
          <w:b/>
          <w:color w:val="17365D"/>
          <w:sz w:val="20"/>
        </w:rPr>
        <w:t>Start Date: 31st August 2026     End Date: 7th September 2026</w:t>
      </w:r>
    </w:p>
    <w:p w14:paraId="69AFF032">
      <w:pPr>
        <w:jc w:val="center"/>
        <w:rPr>
          <w:rFonts w:asciiTheme="majorHAnsi" w:hAnsiTheme="majorHAnsi" w:cstheme="majorHAnsi"/>
          <w:kern w:val="2"/>
          <w:sz w:val="20"/>
          <w:szCs w:val="20"/>
          <w:lang w:val="en-IN" w:eastAsia="en-IN"/>
          <w14:ligatures w14:val="standardContextual"/>
        </w:rPr>
      </w:pPr>
    </w:p>
    <w:p w14:paraId="197EE0C4">
      <w:pPr>
        <w:jc w:val="center"/>
        <w:rPr>
          <w:rFonts w:asciiTheme="majorHAnsi" w:hAnsiTheme="majorHAnsi" w:cstheme="majorHAnsi"/>
          <w:kern w:val="2"/>
          <w:sz w:val="20"/>
          <w:szCs w:val="20"/>
          <w:lang w:val="en-IN" w:eastAsia="en-IN"/>
          <w14:ligatures w14:val="standardContextual"/>
        </w:rPr>
      </w:pPr>
      <w:r>
        <w:rPr>
          <w:rFonts w:asciiTheme="majorHAnsi" w:hAnsiTheme="majorHAnsi" w:cstheme="majorHAnsi"/>
          <w:sz w:val="20"/>
          <w:szCs w:val="20"/>
        </w:rPr>
        <w:drawing>
          <wp:inline distT="0" distB="0" distL="0" distR="0">
            <wp:extent cx="5621020" cy="3748405"/>
            <wp:effectExtent l="0" t="0" r="0" b="4445"/>
            <wp:docPr id="1421391283" name="Picture 1421391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391283" name="Picture 142139128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42180" cy="3762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0A2CA">
      <w:pPr>
        <w:rPr>
          <w:rFonts w:asciiTheme="majorHAnsi" w:hAnsiTheme="majorHAnsi" w:cstheme="majorHAnsi"/>
          <w:kern w:val="2"/>
          <w:sz w:val="20"/>
          <w:szCs w:val="20"/>
          <w:lang w:val="en-IN" w:eastAsia="en-IN"/>
          <w14:ligatures w14:val="standardContextual"/>
        </w:rPr>
      </w:pPr>
    </w:p>
    <w:p w14:paraId="1C92C9D3">
      <w:pPr>
        <w:spacing w:before="120" w:after="60"/>
        <w:rPr>
          <w:rFonts w:asciiTheme="majorHAnsi" w:hAnsiTheme="majorHAnsi" w:cstheme="majorHAnsi"/>
          <w:b/>
          <w:bCs/>
          <w:color w:val="17365D"/>
          <w:sz w:val="32"/>
          <w:szCs w:val="32"/>
        </w:rPr>
      </w:pPr>
      <w:r>
        <w:rPr>
          <w:rFonts w:asciiTheme="majorHAnsi" w:hAnsiTheme="majorHAnsi" w:cstheme="majorHAnsi"/>
          <w:b/>
          <w:bCs/>
          <w:color w:val="17365D"/>
          <w:sz w:val="32"/>
          <w:szCs w:val="32"/>
        </w:rPr>
        <w:t>Contents</w:t>
      </w:r>
    </w:p>
    <w:p w14:paraId="46556A03">
      <w:pPr>
        <w:spacing w:before="120" w:after="60"/>
        <w:rPr>
          <w:rFonts w:asciiTheme="majorHAnsi" w:hAnsiTheme="majorHAnsi" w:cstheme="majorHAnsi"/>
          <w:kern w:val="2"/>
          <w:sz w:val="20"/>
          <w:szCs w:val="20"/>
          <w:lang w:val="en-IN" w:eastAsia="en-IN"/>
          <w14:ligatures w14:val="standardContextual"/>
        </w:rPr>
      </w:pPr>
    </w:p>
    <w:tbl>
      <w:tblPr>
        <w:tblStyle w:val="35"/>
        <w:tblW w:w="0" w:type="auto"/>
        <w:tblInd w:w="132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75"/>
        <w:gridCol w:w="4669"/>
        <w:gridCol w:w="1134"/>
      </w:tblGrid>
      <w:tr w14:paraId="7502B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75" w:type="dxa"/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D0BE12">
            <w:pPr>
              <w:spacing w:after="0" w:line="240" w:lineRule="auto"/>
              <w:jc w:val="center"/>
              <w:rPr>
                <w:rFonts w:asciiTheme="majorHAnsi" w:hAnsiTheme="majorHAnsi" w:cstheme="majorHAnsi"/>
                <w:kern w:val="2"/>
                <w:sz w:val="20"/>
                <w:szCs w:val="20"/>
                <w:lang w:val="en-IN" w:eastAsia="en-IN"/>
                <w14:ligatures w14:val="standardContextual"/>
              </w:rPr>
            </w:pPr>
            <w:r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4669" w:type="dxa"/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188F3B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  <w:t>Main heading</w:t>
            </w:r>
          </w:p>
        </w:tc>
        <w:tc>
          <w:tcPr>
            <w:tcW w:w="1134" w:type="dxa"/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3BAA57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  <w:t>Page</w:t>
            </w:r>
          </w:p>
        </w:tc>
      </w:tr>
      <w:tr w14:paraId="61B85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75" w:type="dxa"/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71B70F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466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886157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Executive Insight Dashboard</w:t>
            </w:r>
          </w:p>
        </w:tc>
        <w:tc>
          <w:tcPr>
            <w:tcW w:w="1134" w:type="dxa"/>
            <w:shd w:val="clear" w:color="auto" w:fill="F7FB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0B0480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3</w:t>
            </w:r>
          </w:p>
        </w:tc>
      </w:tr>
      <w:tr w14:paraId="35FC1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75" w:type="dxa"/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FAE72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466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831231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Why OEE Is Going Down</w:t>
            </w:r>
          </w:p>
        </w:tc>
        <w:tc>
          <w:tcPr>
            <w:tcW w:w="1134" w:type="dxa"/>
            <w:shd w:val="clear" w:color="auto" w:fill="F7FB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5DDD36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4</w:t>
            </w:r>
          </w:p>
        </w:tc>
      </w:tr>
      <w:tr w14:paraId="1AFD0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75" w:type="dxa"/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8D2387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3</w:t>
            </w:r>
          </w:p>
        </w:tc>
        <w:tc>
          <w:tcPr>
            <w:tcW w:w="466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98CA88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Quality, Fault Risk and Improvement Opportunity</w:t>
            </w:r>
          </w:p>
        </w:tc>
        <w:tc>
          <w:tcPr>
            <w:tcW w:w="1134" w:type="dxa"/>
            <w:shd w:val="clear" w:color="auto" w:fill="F7FB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9EB11B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5</w:t>
            </w:r>
          </w:p>
        </w:tc>
      </w:tr>
      <w:tr w14:paraId="1FAD1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75" w:type="dxa"/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8C0988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4</w:t>
            </w:r>
          </w:p>
        </w:tc>
        <w:tc>
          <w:tcPr>
            <w:tcW w:w="466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56ADCE">
            <w:pPr>
              <w:spacing w:after="0" w:line="240" w:lineRule="auto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Action Plan: What to Do Next Week</w:t>
            </w:r>
          </w:p>
        </w:tc>
        <w:tc>
          <w:tcPr>
            <w:tcW w:w="1134" w:type="dxa"/>
            <w:shd w:val="clear" w:color="auto" w:fill="F7FB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567401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6</w:t>
            </w:r>
          </w:p>
        </w:tc>
      </w:tr>
      <w:tr w14:paraId="6E16D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7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8FE639">
            <w:pPr>
              <w:spacing w:after="0" w:line="240" w:lineRule="auto"/>
              <w:jc w:val="center"/>
              <w:rPr>
                <w:rFonts w:asciiTheme="majorHAnsi" w:hAnsiTheme="majorHAnsi" w:cstheme="majorHAnsi"/>
                <w:kern w:val="2"/>
                <w:sz w:val="20"/>
                <w:szCs w:val="20"/>
                <w:lang w:val="en-IN" w:eastAsia="en-IN"/>
                <w14:ligatures w14:val="standardContextual"/>
              </w:rPr>
            </w:pPr>
          </w:p>
        </w:tc>
        <w:tc>
          <w:tcPr>
            <w:tcW w:w="46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7FD579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7FB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2D68B6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6ED9EDF7">
      <w:pPr>
        <w:rPr>
          <w:rFonts w:asciiTheme="majorHAnsi" w:hAnsiTheme="majorHAnsi" w:cstheme="majorHAnsi"/>
          <w:kern w:val="2"/>
          <w:sz w:val="20"/>
          <w:szCs w:val="20"/>
          <w:lang w:val="en-IN" w:eastAsia="en-IN"/>
          <w14:ligatures w14:val="standardContextual"/>
        </w:rPr>
      </w:pPr>
    </w:p>
    <w:p w14:paraId="26C566E3">
      <w:pPr>
        <w:rPr>
          <w:rFonts w:asciiTheme="majorHAnsi" w:hAnsiTheme="majorHAnsi" w:cstheme="majorHAnsi"/>
          <w:kern w:val="2"/>
          <w:sz w:val="20"/>
          <w:szCs w:val="20"/>
          <w:lang w:val="en-IN" w:eastAsia="en-IN"/>
          <w14:ligatures w14:val="standardContextual"/>
        </w:rPr>
      </w:pPr>
    </w:p>
    <w:p w14:paraId="33B8080A">
      <w:pPr>
        <w:rPr>
          <w:rFonts w:asciiTheme="majorHAnsi" w:hAnsiTheme="majorHAnsi" w:cstheme="majorHAnsi"/>
          <w:kern w:val="2"/>
          <w:sz w:val="20"/>
          <w:szCs w:val="20"/>
          <w:lang w:val="en-IN" w:eastAsia="en-IN"/>
          <w14:ligatures w14:val="standardContextual"/>
        </w:rPr>
      </w:pPr>
    </w:p>
    <w:p w14:paraId="0161D719">
      <w:pPr>
        <w:rPr>
          <w:rFonts w:asciiTheme="majorHAnsi" w:hAnsiTheme="majorHAnsi" w:cstheme="majorHAnsi"/>
          <w:kern w:val="2"/>
          <w:sz w:val="20"/>
          <w:szCs w:val="20"/>
          <w:lang w:val="en-IN" w:eastAsia="en-IN"/>
          <w14:ligatures w14:val="standardContextual"/>
        </w:rPr>
      </w:pPr>
    </w:p>
    <w:p w14:paraId="286DD364">
      <w:pPr>
        <w:rPr>
          <w:rFonts w:asciiTheme="majorHAnsi" w:hAnsiTheme="majorHAnsi" w:cstheme="majorHAnsi"/>
          <w:kern w:val="2"/>
          <w:sz w:val="20"/>
          <w:szCs w:val="20"/>
          <w:lang w:val="en-IN" w:eastAsia="en-IN"/>
          <w14:ligatures w14:val="standardContextual"/>
        </w:rPr>
      </w:pPr>
    </w:p>
    <w:p w14:paraId="40BE8C8C">
      <w:pPr>
        <w:pStyle w:val="2"/>
        <w:pageBreakBefore/>
      </w:pPr>
      <w:r>
        <w:rPr>
          <w:b/>
          <w:sz w:val="30"/>
        </w:rPr>
        <w:t>1. Executive Insight Dashboard</w:t>
      </w:r>
    </w:p>
    <w:p w14:paraId="6922A11C">
      <w:pPr>
        <w:spacing w:after="100"/>
        <w:rPr>
          <w:rFonts w:asciiTheme="majorHAnsi" w:hAnsiTheme="majorHAnsi" w:cstheme="majorHAnsi"/>
          <w:sz w:val="20"/>
          <w:szCs w:val="20"/>
        </w:rPr>
      </w:pPr>
      <w:r>
        <w:rPr>
          <w:b w:val="0"/>
          <w:sz w:val="18"/>
        </w:rPr>
        <w:t>This page explains the verified OEE results in plain language for operations, maintenance and management users.</w:t>
      </w:r>
    </w:p>
    <w:p w14:paraId="0C099A7B">
      <w:pPr>
        <w:rPr>
          <w:kern w:val="2"/>
          <w:szCs w:val="18"/>
          <w:lang w:val="en-IN" w:eastAsia="en-IN"/>
          <w14:ligatures w14:val="standardContextual"/>
        </w:rPr>
      </w:pPr>
      <w:r>
        <w:rPr>
          <w:b/>
          <w:sz w:val="22"/>
        </w:rPr>
        <w:t>Summary</w:t>
      </w:r>
    </w:p>
    <w:p w14:paraId="3ED8B704">
      <w:pPr>
        <w:rPr>
          <w:b/>
          <w:bCs/>
          <w:kern w:val="2"/>
          <w:sz w:val="20"/>
          <w:szCs w:val="20"/>
          <w:u w:val="single"/>
          <w:lang w:val="en-IN" w:eastAsia="en-IN"/>
          <w14:ligatures w14:val="standardContextual"/>
        </w:rPr>
      </w:pPr>
      <w:r>
        <w:rPr>
          <w:b w:val="0"/>
          <w:sz w:val="18"/>
        </w:rPr>
        <w:t>Fillpac 1</w:t>
      </w:r>
      <w:r>
        <w:rPr>
          <w:rFonts w:hint="default"/>
          <w:b w:val="0"/>
          <w:sz w:val="18"/>
          <w:lang w:val="en-US"/>
        </w:rPr>
        <w:t>, 2, 3 and 4</w:t>
      </w:r>
      <w:bookmarkStart w:id="0" w:name="_GoBack"/>
      <w:bookmarkEnd w:id="0"/>
      <w:r>
        <w:rPr>
          <w:b w:val="0"/>
          <w:sz w:val="18"/>
        </w:rPr>
        <w:t xml:space="preserve"> has an OEE of 28.77%, classified as Critical. Performance is the weakest KPI at 29.95%, while Quality remains strongest at 98.28%.</w:t>
      </w:r>
    </w:p>
    <w:p w14:paraId="708BAF99">
      <w:pPr>
        <w:jc w:val="center"/>
        <w:rPr>
          <w:rFonts w:asciiTheme="majorHAnsi" w:hAnsiTheme="majorHAnsi" w:cstheme="majorHAnsi"/>
          <w:sz w:val="20"/>
          <w:szCs w:val="20"/>
        </w:rPr>
      </w:pPr>
      <w:r>
        <w:drawing>
          <wp:inline distT="0" distB="0" distL="114300" distR="114300">
            <wp:extent cx="4799965" cy="2615565"/>
            <wp:effectExtent l="0" t="0" r="635" b="13335"/>
            <wp:docPr id="1421391287" name="Picture 1421391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391287" name="Picture 142139128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000" cy="2615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3"/>
        <w:gridCol w:w="3544"/>
        <w:gridCol w:w="3543"/>
      </w:tblGrid>
      <w:tr w14:paraId="6A197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43" w:type="dxa"/>
            <w:tcBorders>
              <w:top w:val="single" w:color="9DC3E6" w:sz="10" w:space="0"/>
              <w:left w:val="single" w:color="9DC3E6" w:sz="10" w:space="0"/>
              <w:bottom w:val="single" w:color="9DC3E6" w:sz="10" w:space="0"/>
              <w:right w:val="single" w:color="9DC3E6" w:sz="10" w:space="0"/>
            </w:tcBorders>
            <w:shd w:val="clear" w:color="auto" w:fill="D99594" w:themeFill="accent2" w:themeFillTint="99"/>
          </w:tcPr>
          <w:p w14:paraId="44D4B423">
            <w:pPr>
              <w:spacing w:after="0" w:line="240" w:lineRule="auto"/>
            </w:pPr>
            <w:r>
              <w:rPr>
                <w:b/>
                <w:sz w:val="16"/>
              </w:rPr>
              <w:t>1. Main loss driver</w:t>
            </w:r>
            <w:r>
              <w:rPr>
                <w:b/>
                <w:sz w:val="16"/>
              </w:rPr>
              <w:br w:type="textWrapping"/>
            </w:r>
            <w:r>
              <w:rPr>
                <w:b w:val="0"/>
                <w:sz w:val="16"/>
              </w:rPr>
              <w:t>Performance is the weakest KPI at 29.95%. Fillpac 1 Main Drive Stop accounts for 3423.12 minutes of the 0.00 minutes of recorded availability loss this week.</w:t>
            </w:r>
          </w:p>
        </w:tc>
        <w:tc>
          <w:tcPr>
            <w:tcW w:w="3544" w:type="dxa"/>
            <w:tcBorders>
              <w:top w:val="single" w:color="9DC3E6" w:sz="10" w:space="0"/>
              <w:left w:val="single" w:color="9DC3E6" w:sz="10" w:space="0"/>
              <w:bottom w:val="single" w:color="9DC3E6" w:sz="10" w:space="0"/>
              <w:right w:val="single" w:color="9DC3E6" w:sz="10" w:space="0"/>
            </w:tcBorders>
          </w:tcPr>
          <w:p w14:paraId="43B2A816">
            <w:pPr>
              <w:spacing w:after="0" w:line="240" w:lineRule="auto"/>
            </w:pPr>
            <w:r>
              <w:rPr>
                <w:b/>
                <w:sz w:val="16"/>
              </w:rPr>
              <w:t>2. Performance is a concern</w:t>
            </w:r>
            <w:r>
              <w:rPr>
                <w:b/>
                <w:sz w:val="16"/>
              </w:rPr>
              <w:br w:type="textWrapping"/>
            </w:r>
            <w:r>
              <w:rPr>
                <w:b w:val="0"/>
                <w:sz w:val="16"/>
              </w:rPr>
              <w:t>Performance is 29.95%. Actual good-bag production was 474,589 bags against 1,584,829 bags expected.</w:t>
            </w:r>
          </w:p>
        </w:tc>
        <w:tc>
          <w:tcPr>
            <w:tcW w:w="3543" w:type="dxa"/>
            <w:tcBorders>
              <w:top w:val="single" w:color="9DC3E6" w:sz="10" w:space="0"/>
              <w:left w:val="single" w:color="9DC3E6" w:sz="10" w:space="0"/>
              <w:bottom w:val="single" w:color="9DC3E6" w:sz="10" w:space="0"/>
              <w:right w:val="single" w:color="9DC3E6" w:sz="10" w:space="0"/>
            </w:tcBorders>
          </w:tcPr>
          <w:p w14:paraId="75AAAC4E">
            <w:pPr>
              <w:spacing w:after="0" w:line="240" w:lineRule="auto"/>
            </w:pPr>
            <w:r>
              <w:rPr>
                <w:b/>
                <w:sz w:val="16"/>
              </w:rPr>
              <w:t>3. Quality is the strongest KPI</w:t>
            </w:r>
            <w:r>
              <w:rPr>
                <w:b/>
                <w:sz w:val="16"/>
              </w:rPr>
              <w:br w:type="textWrapping"/>
            </w:r>
            <w:r>
              <w:rPr>
                <w:b w:val="0"/>
                <w:sz w:val="16"/>
              </w:rPr>
              <w:t>Quality is 98.28%. Biggest quality focus is Out of Limit Bags at 5475 bags (1.13% of total bags produced).</w:t>
            </w:r>
          </w:p>
        </w:tc>
      </w:tr>
    </w:tbl>
    <w:p w14:paraId="4C3077EF">
      <w:pPr>
        <w:spacing w:before="120" w:after="60"/>
        <w:rPr>
          <w:kern w:val="2"/>
          <w:sz w:val="24"/>
          <w:szCs w:val="24"/>
          <w:lang w:val="en-IN" w:eastAsia="en-IN"/>
          <w14:ligatures w14:val="standardContextual"/>
        </w:rPr>
      </w:pPr>
      <w:r>
        <w:rPr>
          <w:rFonts w:ascii="Calibri" w:hAnsi="Calibri" w:cs="Calibri"/>
          <w:b/>
          <w:bCs/>
          <w:color w:val="17365D"/>
          <w:sz w:val="24"/>
          <w:szCs w:val="24"/>
        </w:rPr>
        <w:t>KPI Scorecard vs Industry Standard</w:t>
      </w:r>
    </w:p>
    <w:tbl>
      <w:tblPr>
        <w:tblStyle w:val="3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40"/>
        <w:gridCol w:w="1595"/>
        <w:gridCol w:w="1971"/>
        <w:gridCol w:w="5066"/>
      </w:tblGrid>
      <w:tr w14:paraId="1814A0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255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2C618A">
            <w:pPr>
              <w:spacing w:after="0" w:line="240" w:lineRule="auto"/>
              <w:jc w:val="center"/>
              <w:rPr>
                <w:kern w:val="2"/>
                <w:szCs w:val="18"/>
                <w:lang w:val="en-IN" w:eastAsia="en-IN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1800" w:type="dxa"/>
            <w:tcBorders>
              <w:top w:val="single" w:color="FFFFFF" w:sz="8" w:space="0"/>
              <w:left w:val="nil"/>
              <w:bottom w:val="single" w:color="FFFFFF" w:sz="8" w:space="0"/>
              <w:right w:val="single" w:color="FFFFFF" w:sz="8" w:space="0"/>
            </w:tcBorders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A6DA67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Current</w:t>
            </w:r>
          </w:p>
        </w:tc>
        <w:tc>
          <w:tcPr>
            <w:tcW w:w="2250" w:type="dxa"/>
            <w:tcBorders>
              <w:top w:val="single" w:color="FFFFFF" w:sz="8" w:space="0"/>
              <w:left w:val="nil"/>
              <w:bottom w:val="single" w:color="FFFFFF" w:sz="8" w:space="0"/>
              <w:right w:val="single" w:color="FFFFFF" w:sz="8" w:space="0"/>
            </w:tcBorders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157137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Industry standard</w:t>
            </w:r>
          </w:p>
        </w:tc>
        <w:tc>
          <w:tcPr>
            <w:tcW w:w="2550" w:type="dxa"/>
            <w:tcBorders>
              <w:top w:val="single" w:color="FFFFFF" w:sz="8" w:space="0"/>
              <w:left w:val="nil"/>
              <w:bottom w:val="single" w:color="FFFFFF" w:sz="8" w:space="0"/>
              <w:right w:val="single" w:color="FFFFFF" w:sz="8" w:space="0"/>
            </w:tcBorders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A535FA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14:paraId="2228FB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3F4217">
            <w:pPr>
              <w:spacing w:after="0" w:line="240" w:lineRule="auto"/>
              <w:jc w:val="center"/>
            </w:pPr>
            <w:r>
              <w:rPr>
                <w:b w:val="0"/>
                <w:sz w:val="16"/>
              </w:rPr>
              <w:t>OEE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72CD2E">
            <w:pPr>
              <w:spacing w:after="0" w:line="240" w:lineRule="auto"/>
              <w:jc w:val="center"/>
            </w:pPr>
            <w:r>
              <w:rPr>
                <w:b w:val="0"/>
                <w:sz w:val="16"/>
              </w:rPr>
              <w:t>28.77%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1E642D">
            <w:pPr>
              <w:spacing w:after="0" w:line="240" w:lineRule="auto"/>
              <w:jc w:val="center"/>
            </w:pPr>
            <w:r>
              <w:rPr>
                <w:b w:val="0"/>
                <w:sz w:val="16"/>
              </w:rPr>
              <w:t>85% world-class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238B36">
            <w:pPr>
              <w:spacing w:after="0" w:line="240" w:lineRule="auto"/>
              <w:jc w:val="center"/>
            </w:pPr>
            <w:r>
              <w:rPr>
                <w:b w:val="0"/>
                <w:sz w:val="16"/>
              </w:rPr>
              <w:t>OEE for Fillpac 1 &amp; 2 (Packer 1 + Packer 2) in week 36 is 28.77%, classified as Critical.</w:t>
            </w:r>
          </w:p>
        </w:tc>
      </w:tr>
      <w:tr w14:paraId="222B3E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C242EC">
            <w:pPr>
              <w:spacing w:after="0" w:line="240" w:lineRule="auto"/>
              <w:jc w:val="center"/>
            </w:pPr>
            <w:r>
              <w:rPr>
                <w:b w:val="0"/>
                <w:sz w:val="16"/>
              </w:rPr>
              <w:t>Availability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198DCE">
            <w:pPr>
              <w:spacing w:after="0" w:line="240" w:lineRule="auto"/>
              <w:jc w:val="center"/>
            </w:pPr>
            <w:r>
              <w:rPr>
                <w:b w:val="0"/>
                <w:sz w:val="16"/>
              </w:rPr>
              <w:t>97.78%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981A0E">
            <w:pPr>
              <w:spacing w:after="0" w:line="240" w:lineRule="auto"/>
              <w:jc w:val="center"/>
            </w:pPr>
            <w:r>
              <w:rPr>
                <w:b w:val="0"/>
                <w:sz w:val="16"/>
              </w:rPr>
              <w:t>90%+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80E859">
            <w:pPr>
              <w:spacing w:after="0" w:line="240" w:lineRule="auto"/>
              <w:jc w:val="center"/>
            </w:pPr>
            <w:r>
              <w:rPr>
                <w:b w:val="0"/>
                <w:sz w:val="16"/>
              </w:rPr>
              <w:t>Availability is 97.78%, with 0.00 min of availability loss out of 0.00 min planned.</w:t>
            </w:r>
          </w:p>
        </w:tc>
      </w:tr>
      <w:tr w14:paraId="27C4E1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1EA8D4">
            <w:pPr>
              <w:spacing w:after="0" w:line="240" w:lineRule="auto"/>
              <w:jc w:val="center"/>
            </w:pPr>
            <w:r>
              <w:rPr>
                <w:b w:val="0"/>
                <w:sz w:val="16"/>
              </w:rPr>
              <w:t>Performance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1AADD5">
            <w:pPr>
              <w:spacing w:after="0" w:line="240" w:lineRule="auto"/>
              <w:jc w:val="center"/>
            </w:pPr>
            <w:r>
              <w:rPr>
                <w:b w:val="0"/>
                <w:sz w:val="16"/>
              </w:rPr>
              <w:t>29.95%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31AA4D">
            <w:pPr>
              <w:spacing w:after="0" w:line="240" w:lineRule="auto"/>
              <w:jc w:val="center"/>
            </w:pPr>
            <w:r>
              <w:rPr>
                <w:b w:val="0"/>
                <w:sz w:val="16"/>
              </w:rPr>
              <w:t>95%+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BE4807">
            <w:pPr>
              <w:spacing w:after="0" w:line="240" w:lineRule="auto"/>
              <w:jc w:val="center"/>
            </w:pPr>
            <w:r>
              <w:rPr>
                <w:b w:val="0"/>
                <w:sz w:val="16"/>
              </w:rPr>
              <w:t>Performance is 29.95%.</w:t>
            </w:r>
          </w:p>
        </w:tc>
      </w:tr>
      <w:tr w14:paraId="61C8F7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B3AA1F">
            <w:pPr>
              <w:spacing w:after="0" w:line="240" w:lineRule="auto"/>
              <w:jc w:val="center"/>
            </w:pPr>
            <w:r>
              <w:rPr>
                <w:b w:val="0"/>
                <w:sz w:val="16"/>
              </w:rPr>
              <w:t>Quality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A7C78A">
            <w:pPr>
              <w:spacing w:after="0" w:line="240" w:lineRule="auto"/>
              <w:jc w:val="center"/>
            </w:pPr>
            <w:r>
              <w:rPr>
                <w:b w:val="0"/>
                <w:sz w:val="16"/>
              </w:rPr>
              <w:t>98.28%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FBE976">
            <w:pPr>
              <w:spacing w:after="0" w:line="240" w:lineRule="auto"/>
              <w:jc w:val="center"/>
            </w:pPr>
            <w:r>
              <w:rPr>
                <w:b w:val="0"/>
                <w:sz w:val="16"/>
              </w:rPr>
              <w:t>99.9%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2AC88">
            <w:pPr>
              <w:spacing w:after="0" w:line="240" w:lineRule="auto"/>
              <w:jc w:val="center"/>
            </w:pPr>
            <w:r>
              <w:rPr>
                <w:b w:val="0"/>
                <w:sz w:val="16"/>
              </w:rPr>
              <w:t>Quality is 98.28%, with 474,589 good bags out of 482,913 produced.</w:t>
            </w:r>
          </w:p>
        </w:tc>
      </w:tr>
    </w:tbl>
    <w:p w14:paraId="46EAFA3B">
      <w:pPr>
        <w:spacing w:before="120" w:after="60"/>
        <w:rPr>
          <w:kern w:val="2"/>
          <w:sz w:val="24"/>
          <w:szCs w:val="24"/>
          <w:lang w:val="en-IN" w:eastAsia="en-IN"/>
          <w14:ligatures w14:val="standardContextual"/>
        </w:rPr>
      </w:pPr>
      <w:r>
        <w:rPr>
          <w:b/>
          <w:sz w:val="22"/>
        </w:rPr>
        <w:t>Week 35 vs Week 36 Comparison</w:t>
      </w:r>
    </w:p>
    <w:tbl>
      <w:tblPr>
        <w:tblStyle w:val="3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62"/>
        <w:gridCol w:w="1193"/>
        <w:gridCol w:w="1193"/>
        <w:gridCol w:w="1244"/>
        <w:gridCol w:w="5480"/>
      </w:tblGrid>
      <w:tr w14:paraId="1A0987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240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7BB27E">
            <w:pPr>
              <w:spacing w:after="0" w:line="240" w:lineRule="auto"/>
              <w:jc w:val="center"/>
              <w:rPr>
                <w:kern w:val="2"/>
                <w:szCs w:val="18"/>
                <w:lang w:val="en-IN" w:eastAsia="en-IN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KPI / Parameter</w:t>
            </w:r>
          </w:p>
        </w:tc>
        <w:tc>
          <w:tcPr>
            <w:tcW w:w="1650" w:type="dxa"/>
            <w:tcBorders>
              <w:top w:val="single" w:color="FFFFFF" w:sz="8" w:space="0"/>
              <w:left w:val="nil"/>
              <w:bottom w:val="single" w:color="FFFFFF" w:sz="8" w:space="0"/>
              <w:right w:val="single" w:color="FFFFFF" w:sz="8" w:space="0"/>
            </w:tcBorders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388B50">
            <w:pPr>
              <w:spacing w:after="0" w:line="240" w:lineRule="auto"/>
            </w:pPr>
            <w:r>
              <w:rPr>
                <w:b/>
                <w:sz w:val="16"/>
              </w:rPr>
              <w:t>Week 35</w:t>
            </w:r>
          </w:p>
        </w:tc>
        <w:tc>
          <w:tcPr>
            <w:tcW w:w="1650" w:type="dxa"/>
            <w:tcBorders>
              <w:top w:val="single" w:color="FFFFFF" w:sz="8" w:space="0"/>
              <w:left w:val="nil"/>
              <w:bottom w:val="single" w:color="FFFFFF" w:sz="8" w:space="0"/>
              <w:right w:val="single" w:color="FFFFFF" w:sz="8" w:space="0"/>
            </w:tcBorders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5581B7">
            <w:pPr>
              <w:spacing w:after="0" w:line="240" w:lineRule="auto"/>
            </w:pPr>
            <w:r>
              <w:rPr>
                <w:b/>
                <w:sz w:val="16"/>
              </w:rPr>
              <w:t>Week 36</w:t>
            </w:r>
          </w:p>
        </w:tc>
        <w:tc>
          <w:tcPr>
            <w:tcW w:w="1650" w:type="dxa"/>
            <w:tcBorders>
              <w:top w:val="single" w:color="FFFFFF" w:sz="8" w:space="0"/>
              <w:left w:val="nil"/>
              <w:bottom w:val="single" w:color="FFFFFF" w:sz="8" w:space="0"/>
              <w:right w:val="single" w:color="FFFFFF" w:sz="8" w:space="0"/>
            </w:tcBorders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D825B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Change</w:t>
            </w:r>
          </w:p>
        </w:tc>
        <w:tc>
          <w:tcPr>
            <w:tcW w:w="3750" w:type="dxa"/>
            <w:tcBorders>
              <w:top w:val="single" w:color="FFFFFF" w:sz="8" w:space="0"/>
              <w:left w:val="nil"/>
              <w:bottom w:val="single" w:color="FFFFFF" w:sz="8" w:space="0"/>
              <w:right w:val="single" w:color="FFFFFF" w:sz="8" w:space="0"/>
            </w:tcBorders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2BE553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Management insight</w:t>
            </w:r>
          </w:p>
        </w:tc>
      </w:tr>
      <w:tr w14:paraId="2749E4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A161E5">
            <w:pPr>
              <w:spacing w:after="0" w:line="240" w:lineRule="auto"/>
              <w:jc w:val="center"/>
            </w:pPr>
            <w:r>
              <w:rPr>
                <w:b w:val="0"/>
                <w:sz w:val="16"/>
              </w:rPr>
              <w:t>OEE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840C3E">
            <w:pPr>
              <w:spacing w:after="0" w:line="240" w:lineRule="auto"/>
            </w:pPr>
            <w:r>
              <w:rPr>
                <w:b w:val="0"/>
                <w:sz w:val="16"/>
              </w:rPr>
              <w:t>33.05%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0A59D1">
            <w:pPr>
              <w:spacing w:after="0" w:line="240" w:lineRule="auto"/>
            </w:pPr>
            <w:r>
              <w:rPr>
                <w:b w:val="0"/>
                <w:sz w:val="16"/>
              </w:rPr>
              <w:t>28.77%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B6455E">
            <w:pPr>
              <w:spacing w:after="0" w:line="240" w:lineRule="auto"/>
            </w:pPr>
            <w:r>
              <w:rPr>
                <w:b w:val="0"/>
                <w:sz w:val="16"/>
              </w:rPr>
              <w:t>-4.28 pp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E8095E">
            <w:pPr>
              <w:spacing w:after="0" w:line="240" w:lineRule="auto"/>
            </w:pPr>
            <w:r>
              <w:rPr>
                <w:b w:val="0"/>
                <w:sz w:val="16"/>
              </w:rPr>
              <w:t>Decreased -4.28 pp week over week, still 56.23 points below the 85.00% target.</w:t>
            </w:r>
          </w:p>
        </w:tc>
      </w:tr>
      <w:tr w14:paraId="55973A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F4348B">
            <w:pPr>
              <w:spacing w:after="0" w:line="240" w:lineRule="auto"/>
              <w:jc w:val="center"/>
            </w:pPr>
            <w:r>
              <w:rPr>
                <w:b w:val="0"/>
                <w:sz w:val="16"/>
              </w:rPr>
              <w:t>Availability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43D59C">
            <w:pPr>
              <w:spacing w:after="0" w:line="240" w:lineRule="auto"/>
            </w:pPr>
            <w:r>
              <w:rPr>
                <w:b w:val="0"/>
                <w:sz w:val="16"/>
              </w:rPr>
              <w:t>97.80%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646FF5">
            <w:pPr>
              <w:spacing w:after="0" w:line="240" w:lineRule="auto"/>
            </w:pPr>
            <w:r>
              <w:rPr>
                <w:b w:val="0"/>
                <w:sz w:val="16"/>
              </w:rPr>
              <w:t>97.78%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06544D">
            <w:pPr>
              <w:spacing w:after="0" w:line="240" w:lineRule="auto"/>
            </w:pPr>
            <w:r>
              <w:rPr>
                <w:b w:val="0"/>
                <w:sz w:val="16"/>
              </w:rPr>
              <w:t>-0.02 pp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D5EA1A">
            <w:pPr>
              <w:spacing w:after="0" w:line="240" w:lineRule="auto"/>
            </w:pPr>
            <w:r>
              <w:rPr>
                <w:b w:val="0"/>
                <w:sz w:val="16"/>
              </w:rPr>
              <w:t>No Change -0.02 pp week over week, still 0.00 points below the 90.00% target.</w:t>
            </w:r>
          </w:p>
        </w:tc>
      </w:tr>
      <w:tr w14:paraId="78CE29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57CEE4">
            <w:pPr>
              <w:spacing w:after="0" w:line="240" w:lineRule="auto"/>
              <w:jc w:val="center"/>
            </w:pPr>
            <w:r>
              <w:rPr>
                <w:b w:val="0"/>
                <w:sz w:val="16"/>
              </w:rPr>
              <w:t>Performance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8542E7">
            <w:pPr>
              <w:spacing w:after="0" w:line="240" w:lineRule="auto"/>
            </w:pPr>
            <w:r>
              <w:rPr>
                <w:b w:val="0"/>
                <w:sz w:val="16"/>
              </w:rPr>
              <w:t>34.16%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E5269D">
            <w:pPr>
              <w:spacing w:after="0" w:line="240" w:lineRule="auto"/>
            </w:pPr>
            <w:r>
              <w:rPr>
                <w:b w:val="0"/>
                <w:sz w:val="16"/>
              </w:rPr>
              <w:t>29.95%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22E1DA">
            <w:pPr>
              <w:spacing w:after="0" w:line="240" w:lineRule="auto"/>
            </w:pPr>
            <w:r>
              <w:rPr>
                <w:b w:val="0"/>
                <w:sz w:val="16"/>
              </w:rPr>
              <w:t>-4.21 pp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BB1F03">
            <w:pPr>
              <w:spacing w:after="0" w:line="240" w:lineRule="auto"/>
            </w:pPr>
            <w:r>
              <w:rPr>
                <w:b w:val="0"/>
                <w:sz w:val="16"/>
              </w:rPr>
              <w:t>Decreased -4.21 pp week over week, still 65.05 points below the 95.00% target.</w:t>
            </w:r>
          </w:p>
        </w:tc>
      </w:tr>
      <w:tr w14:paraId="4AF075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8A0D5D">
            <w:pPr>
              <w:spacing w:after="0" w:line="240" w:lineRule="auto"/>
              <w:jc w:val="center"/>
            </w:pPr>
            <w:r>
              <w:rPr>
                <w:b w:val="0"/>
                <w:sz w:val="16"/>
              </w:rPr>
              <w:t>Quality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99DFDC">
            <w:pPr>
              <w:spacing w:after="0" w:line="240" w:lineRule="auto"/>
            </w:pPr>
            <w:r>
              <w:rPr>
                <w:b w:val="0"/>
                <w:sz w:val="16"/>
              </w:rPr>
              <w:t>98.92%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D85477">
            <w:pPr>
              <w:spacing w:after="0" w:line="240" w:lineRule="auto"/>
            </w:pPr>
            <w:r>
              <w:rPr>
                <w:b w:val="0"/>
                <w:sz w:val="16"/>
              </w:rPr>
              <w:t>98.28%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1F8F40">
            <w:pPr>
              <w:spacing w:after="0" w:line="240" w:lineRule="auto"/>
            </w:pPr>
            <w:r>
              <w:rPr>
                <w:b w:val="0"/>
                <w:sz w:val="16"/>
              </w:rPr>
              <w:t>-0.64 pp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2FD4BE">
            <w:pPr>
              <w:spacing w:after="0" w:line="240" w:lineRule="auto"/>
            </w:pPr>
            <w:r>
              <w:rPr>
                <w:b w:val="0"/>
                <w:sz w:val="16"/>
              </w:rPr>
              <w:t>Decreased -0.64 pp week over week, still 1.62 points below the 99.90% target. Out of Limit Bags remains the main quality-loss driver.</w:t>
            </w:r>
          </w:p>
        </w:tc>
      </w:tr>
    </w:tbl>
    <w:p w14:paraId="7237DBEC">
      <w:r>
        <w:rPr>
          <w:b w:val="0"/>
          <w:i/>
          <w:sz w:val="14"/>
        </w:rPr>
        <w:t>pp = percentage points, the straight difference between two percentages (e.g. 45% to 50% is +5 pp), not a percent change.</w:t>
      </w:r>
    </w:p>
    <w:p w14:paraId="7D178BB2">
      <w:pPr>
        <w:rPr>
          <w:kern w:val="2"/>
          <w:szCs w:val="18"/>
          <w:lang w:val="en-IN" w:eastAsia="en-IN"/>
          <w14:ligatures w14:val="standardContextual"/>
        </w:rPr>
      </w:pPr>
    </w:p>
    <w:p w14:paraId="35E12FBC">
      <w:pPr>
        <w:pStyle w:val="2"/>
        <w:pageBreakBefore/>
      </w:pPr>
      <w:r>
        <w:rPr>
          <w:b/>
          <w:sz w:val="30"/>
        </w:rPr>
        <w:t>2. Why OEE Is Going Down</w:t>
      </w:r>
    </w:p>
    <w:p w14:paraId="1AF11398">
      <w:pPr>
        <w:spacing w:after="100"/>
        <w:rPr>
          <w:rFonts w:asciiTheme="majorHAnsi" w:hAnsiTheme="majorHAnsi" w:cstheme="majorHAnsi"/>
          <w:sz w:val="20"/>
          <w:szCs w:val="20"/>
        </w:rPr>
      </w:pPr>
    </w:p>
    <w:tbl>
      <w:tblPr>
        <w:tblStyle w:val="35"/>
        <w:tblW w:w="1064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0"/>
        <w:gridCol w:w="2848"/>
        <w:gridCol w:w="2129"/>
        <w:gridCol w:w="2129"/>
        <w:gridCol w:w="2130"/>
      </w:tblGrid>
      <w:tr w14:paraId="42BCD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17365D"/>
            <w:vAlign w:val="center"/>
          </w:tcPr>
          <w:p w14:paraId="70710DF7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Rank</w:t>
            </w:r>
          </w:p>
        </w:tc>
        <w:tc>
          <w:tcPr>
            <w:tcW w:w="2848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17365D"/>
            <w:vAlign w:val="center"/>
          </w:tcPr>
          <w:p w14:paraId="3C31AE66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Fault code / parameter</w:t>
            </w:r>
          </w:p>
        </w:tc>
        <w:tc>
          <w:tcPr>
            <w:tcW w:w="2129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17365D"/>
            <w:vAlign w:val="center"/>
          </w:tcPr>
          <w:p w14:paraId="58FC47A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Loss</w:t>
            </w:r>
          </w:p>
        </w:tc>
        <w:tc>
          <w:tcPr>
            <w:tcW w:w="2129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17365D"/>
            <w:vAlign w:val="center"/>
          </w:tcPr>
          <w:p w14:paraId="6155F89B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Insight from data</w:t>
            </w:r>
          </w:p>
        </w:tc>
        <w:tc>
          <w:tcPr>
            <w:tcW w:w="213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17365D"/>
            <w:vAlign w:val="center"/>
          </w:tcPr>
          <w:p w14:paraId="3A2F46D3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Immediate action</w:t>
            </w:r>
          </w:p>
        </w:tc>
      </w:tr>
      <w:tr w14:paraId="3940B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0" w:type="dxa"/>
            <w:shd w:val="clear" w:color="auto" w:fill="F8CBAD"/>
            <w:vAlign w:val="center"/>
          </w:tcPr>
          <w:p w14:paraId="37E3C0D1">
            <w:pPr>
              <w:spacing w:after="0" w:line="240" w:lineRule="auto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w="2848" w:type="dxa"/>
            <w:vAlign w:val="center"/>
          </w:tcPr>
          <w:p w14:paraId="55FA01C3">
            <w:pPr>
              <w:spacing w:after="0" w:line="240" w:lineRule="auto"/>
            </w:pPr>
            <w:r>
              <w:rPr>
                <w:b w:val="0"/>
                <w:sz w:val="14"/>
              </w:rPr>
              <w:t>Fillpac 1 Main Drive Stop</w:t>
            </w:r>
          </w:p>
        </w:tc>
        <w:tc>
          <w:tcPr>
            <w:tcW w:w="2129" w:type="dxa"/>
            <w:vAlign w:val="center"/>
          </w:tcPr>
          <w:p w14:paraId="3FDF5157">
            <w:pPr>
              <w:spacing w:after="0" w:line="240" w:lineRule="auto"/>
            </w:pPr>
            <w:r>
              <w:rPr>
                <w:b w:val="0"/>
                <w:sz w:val="14"/>
              </w:rPr>
              <w:t>3423.12 min</w:t>
            </w:r>
          </w:p>
        </w:tc>
        <w:tc>
          <w:tcPr>
            <w:tcW w:w="2129" w:type="dxa"/>
            <w:vAlign w:val="center"/>
          </w:tcPr>
          <w:p w14:paraId="082C7B0F">
            <w:pPr>
              <w:spacing w:after="0" w:line="240" w:lineRule="auto"/>
            </w:pPr>
            <w:r>
              <w:rPr>
                <w:b w:val="0"/>
                <w:sz w:val="14"/>
              </w:rPr>
              <w:t>Fillpac 1 Main Drive Stop accounts for 3423.12 minutes of recorded downtime.</w:t>
            </w:r>
          </w:p>
        </w:tc>
        <w:tc>
          <w:tcPr>
            <w:tcW w:w="2130" w:type="dxa"/>
            <w:vAlign w:val="center"/>
          </w:tcPr>
          <w:p w14:paraId="1A6ACEDA">
            <w:pPr>
              <w:spacing w:after="0" w:line="240" w:lineRule="auto"/>
            </w:pPr>
            <w:r>
              <w:rPr>
                <w:b w:val="0"/>
                <w:sz w:val="14"/>
              </w:rPr>
              <w:t>Prioritize investigation of Fillpac 1 Main Drive Stop using available production and equipment records.</w:t>
            </w:r>
          </w:p>
        </w:tc>
      </w:tr>
      <w:tr w14:paraId="1F07F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0" w:type="dxa"/>
            <w:shd w:val="clear" w:color="auto" w:fill="FFF2CC"/>
            <w:vAlign w:val="center"/>
          </w:tcPr>
          <w:p w14:paraId="2DB9B308">
            <w:pPr>
              <w:spacing w:after="0" w:line="240" w:lineRule="auto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w="2848" w:type="dxa"/>
            <w:vAlign w:val="center"/>
          </w:tcPr>
          <w:p w14:paraId="7040F5A9">
            <w:pPr>
              <w:spacing w:after="0" w:line="240" w:lineRule="auto"/>
            </w:pPr>
            <w:r>
              <w:rPr>
                <w:b w:val="0"/>
                <w:sz w:val="14"/>
              </w:rPr>
              <w:t>Fillpac 2 Main Drive Stop</w:t>
            </w:r>
          </w:p>
        </w:tc>
        <w:tc>
          <w:tcPr>
            <w:tcW w:w="2129" w:type="dxa"/>
            <w:vAlign w:val="center"/>
          </w:tcPr>
          <w:p w14:paraId="151C3A02">
            <w:pPr>
              <w:spacing w:after="0" w:line="240" w:lineRule="auto"/>
            </w:pPr>
            <w:r>
              <w:rPr>
                <w:b w:val="0"/>
                <w:sz w:val="14"/>
              </w:rPr>
              <w:t>1939.82 min</w:t>
            </w:r>
          </w:p>
        </w:tc>
        <w:tc>
          <w:tcPr>
            <w:tcW w:w="2129" w:type="dxa"/>
            <w:vAlign w:val="center"/>
          </w:tcPr>
          <w:p w14:paraId="4DEACD79">
            <w:pPr>
              <w:spacing w:after="0" w:line="240" w:lineRule="auto"/>
            </w:pPr>
            <w:r>
              <w:rPr>
                <w:b w:val="0"/>
                <w:sz w:val="14"/>
              </w:rPr>
              <w:t>Fillpac 2 Main Drive Stop accounts for 1939.82 minutes of recorded downtime.</w:t>
            </w:r>
          </w:p>
        </w:tc>
        <w:tc>
          <w:tcPr>
            <w:tcW w:w="2130" w:type="dxa"/>
            <w:vAlign w:val="center"/>
          </w:tcPr>
          <w:p w14:paraId="74323FA5">
            <w:pPr>
              <w:spacing w:after="0" w:line="240" w:lineRule="auto"/>
            </w:pPr>
            <w:r>
              <w:rPr>
                <w:b w:val="0"/>
                <w:sz w:val="14"/>
              </w:rPr>
              <w:t>Prioritize investigation of Fillpac 2 Main Drive Stop using available production and equipment records.</w:t>
            </w:r>
          </w:p>
        </w:tc>
      </w:tr>
      <w:tr w14:paraId="3F080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0" w:type="dxa"/>
            <w:shd w:val="clear" w:color="auto" w:fill="FFF2CC"/>
            <w:vAlign w:val="center"/>
          </w:tcPr>
          <w:p w14:paraId="664796AC">
            <w:pPr>
              <w:spacing w:after="0" w:line="240" w:lineRule="auto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w="2848" w:type="dxa"/>
            <w:vAlign w:val="center"/>
          </w:tcPr>
          <w:p w14:paraId="4215AA8F">
            <w:pPr>
              <w:spacing w:after="0" w:line="240" w:lineRule="auto"/>
            </w:pPr>
            <w:r>
              <w:rPr>
                <w:b w:val="0"/>
                <w:sz w:val="14"/>
              </w:rPr>
              <w:t>Fillpac 2 Belt Not Running</w:t>
            </w:r>
          </w:p>
        </w:tc>
        <w:tc>
          <w:tcPr>
            <w:tcW w:w="2129" w:type="dxa"/>
            <w:vAlign w:val="center"/>
          </w:tcPr>
          <w:p w14:paraId="5FB1E806">
            <w:pPr>
              <w:spacing w:after="0" w:line="240" w:lineRule="auto"/>
            </w:pPr>
            <w:r>
              <w:rPr>
                <w:b w:val="0"/>
                <w:sz w:val="14"/>
              </w:rPr>
              <w:t>388.32 min</w:t>
            </w:r>
          </w:p>
        </w:tc>
        <w:tc>
          <w:tcPr>
            <w:tcW w:w="2129" w:type="dxa"/>
            <w:vAlign w:val="center"/>
          </w:tcPr>
          <w:p w14:paraId="3D4D248A">
            <w:pPr>
              <w:spacing w:after="0" w:line="240" w:lineRule="auto"/>
            </w:pPr>
            <w:r>
              <w:rPr>
                <w:b w:val="0"/>
                <w:sz w:val="14"/>
              </w:rPr>
              <w:t>Fillpac 2 Belt Not Running accounts for 388.32 minutes of recorded downtime.</w:t>
            </w:r>
          </w:p>
        </w:tc>
        <w:tc>
          <w:tcPr>
            <w:tcW w:w="2130" w:type="dxa"/>
            <w:vAlign w:val="center"/>
          </w:tcPr>
          <w:p w14:paraId="7FBFB028">
            <w:pPr>
              <w:spacing w:after="0" w:line="240" w:lineRule="auto"/>
            </w:pPr>
            <w:r>
              <w:rPr>
                <w:b w:val="0"/>
                <w:sz w:val="14"/>
              </w:rPr>
              <w:t>Prioritize investigation of Fillpac 2 Belt Not Running using available production and equipment records.</w:t>
            </w:r>
          </w:p>
        </w:tc>
      </w:tr>
      <w:tr w14:paraId="05E6B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0" w:type="dxa"/>
            <w:shd w:val="clear" w:color="auto" w:fill="FFF2CC"/>
            <w:vAlign w:val="center"/>
          </w:tcPr>
          <w:p w14:paraId="2C15EDB8">
            <w:pPr>
              <w:spacing w:after="0" w:line="240" w:lineRule="auto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w="2848" w:type="dxa"/>
            <w:vAlign w:val="center"/>
          </w:tcPr>
          <w:p w14:paraId="1E42795E">
            <w:pPr>
              <w:spacing w:after="0" w:line="240" w:lineRule="auto"/>
            </w:pPr>
            <w:r>
              <w:rPr>
                <w:b w:val="0"/>
                <w:sz w:val="14"/>
              </w:rPr>
              <w:t>Fillpac 1 Spout Fault</w:t>
            </w:r>
          </w:p>
        </w:tc>
        <w:tc>
          <w:tcPr>
            <w:tcW w:w="2129" w:type="dxa"/>
            <w:vAlign w:val="center"/>
          </w:tcPr>
          <w:p w14:paraId="3F65E323">
            <w:pPr>
              <w:spacing w:after="0" w:line="240" w:lineRule="auto"/>
            </w:pPr>
            <w:r>
              <w:rPr>
                <w:b w:val="0"/>
                <w:sz w:val="14"/>
              </w:rPr>
              <w:t>115.70 min</w:t>
            </w:r>
          </w:p>
        </w:tc>
        <w:tc>
          <w:tcPr>
            <w:tcW w:w="2129" w:type="dxa"/>
            <w:vAlign w:val="center"/>
          </w:tcPr>
          <w:p w14:paraId="5FA18BCD">
            <w:pPr>
              <w:spacing w:after="0" w:line="240" w:lineRule="auto"/>
            </w:pPr>
            <w:r>
              <w:rPr>
                <w:b w:val="0"/>
                <w:sz w:val="14"/>
              </w:rPr>
              <w:t>Fillpac 1 Spout Fault accounts for 115.70 minutes of recorded downtime.</w:t>
            </w:r>
          </w:p>
        </w:tc>
        <w:tc>
          <w:tcPr>
            <w:tcW w:w="2130" w:type="dxa"/>
            <w:vAlign w:val="center"/>
          </w:tcPr>
          <w:p w14:paraId="60FF96E5">
            <w:pPr>
              <w:spacing w:after="0" w:line="240" w:lineRule="auto"/>
            </w:pPr>
            <w:r>
              <w:rPr>
                <w:b w:val="0"/>
                <w:sz w:val="14"/>
              </w:rPr>
              <w:t>Prioritize investigation of Fillpac 1 Spout Fault using available production and equipment records.</w:t>
            </w:r>
          </w:p>
        </w:tc>
      </w:tr>
      <w:tr w14:paraId="3EDE0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0" w:type="dxa"/>
            <w:shd w:val="clear" w:color="auto" w:fill="FFF2CC"/>
            <w:vAlign w:val="center"/>
          </w:tcPr>
          <w:p w14:paraId="1ED1A992">
            <w:pPr>
              <w:spacing w:after="0" w:line="240" w:lineRule="auto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w="2848" w:type="dxa"/>
            <w:vAlign w:val="center"/>
          </w:tcPr>
          <w:p w14:paraId="1314EA6E">
            <w:pPr>
              <w:spacing w:after="0" w:line="240" w:lineRule="auto"/>
            </w:pPr>
            <w:r>
              <w:rPr>
                <w:b w:val="0"/>
                <w:sz w:val="14"/>
              </w:rPr>
              <w:t>Fillpac 2 Spout Fault</w:t>
            </w:r>
          </w:p>
        </w:tc>
        <w:tc>
          <w:tcPr>
            <w:tcW w:w="2129" w:type="dxa"/>
            <w:vAlign w:val="center"/>
          </w:tcPr>
          <w:p w14:paraId="33BA880E">
            <w:pPr>
              <w:spacing w:after="0" w:line="240" w:lineRule="auto"/>
            </w:pPr>
            <w:r>
              <w:rPr>
                <w:b w:val="0"/>
                <w:sz w:val="14"/>
              </w:rPr>
              <w:t>82.59 min</w:t>
            </w:r>
          </w:p>
        </w:tc>
        <w:tc>
          <w:tcPr>
            <w:tcW w:w="2129" w:type="dxa"/>
            <w:vAlign w:val="center"/>
          </w:tcPr>
          <w:p w14:paraId="707D5FCF">
            <w:pPr>
              <w:spacing w:after="0" w:line="240" w:lineRule="auto"/>
            </w:pPr>
            <w:r>
              <w:rPr>
                <w:b w:val="0"/>
                <w:sz w:val="14"/>
              </w:rPr>
              <w:t>Fillpac 2 Spout Fault accounts for 82.59 minutes of recorded downtime.</w:t>
            </w:r>
          </w:p>
        </w:tc>
        <w:tc>
          <w:tcPr>
            <w:tcW w:w="2130" w:type="dxa"/>
            <w:vAlign w:val="center"/>
          </w:tcPr>
          <w:p w14:paraId="51B317D7">
            <w:pPr>
              <w:spacing w:after="0" w:line="240" w:lineRule="auto"/>
            </w:pPr>
            <w:r>
              <w:rPr>
                <w:b w:val="0"/>
                <w:sz w:val="14"/>
              </w:rPr>
              <w:t>Prioritize investigation of Fillpac 2 Spout Fault using available production and equipment records.</w:t>
            </w:r>
          </w:p>
        </w:tc>
      </w:tr>
      <w:tr w14:paraId="0E3E2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46" w:type="dxa"/>
            <w:gridSpan w:val="5"/>
            <w:tcBorders>
              <w:top w:val="single" w:color="C00000" w:sz="14" w:space="0"/>
              <w:left w:val="single" w:color="C00000" w:sz="14" w:space="0"/>
              <w:bottom w:val="single" w:color="C00000" w:sz="14" w:space="0"/>
              <w:right w:val="single" w:color="C00000" w:sz="14" w:space="0"/>
            </w:tcBorders>
            <w:shd w:val="clear" w:color="auto" w:fill="FCE4D6"/>
          </w:tcPr>
          <w:p w14:paraId="3548FD8A">
            <w:pPr>
              <w:spacing w:after="0" w:line="240" w:lineRule="auto"/>
            </w:pPr>
            <w:r>
              <w:rPr>
                <w:b w:val="0"/>
                <w:sz w:val="16"/>
              </w:rPr>
              <w:t>Decision point</w:t>
            </w:r>
            <w:r>
              <w:rPr>
                <w:b w:val="0"/>
                <w:sz w:val="16"/>
              </w:rPr>
              <w:br w:type="textWrapping"/>
            </w:r>
            <w:r>
              <w:rPr>
                <w:b w:val="0"/>
                <w:sz w:val="16"/>
              </w:rPr>
              <w:t>Attack the top two recorded downtime losses first: Fillpac 1 Main Drive Stop and Fillpac 2 Main Drive Stop. Together they account for 5362.94 minutes of downtime. This provides the largest immediate opportunity to recover availability.</w:t>
            </w:r>
          </w:p>
        </w:tc>
      </w:tr>
    </w:tbl>
    <w:p w14:paraId="26820D6F">
      <w:pPr>
        <w:pStyle w:val="2"/>
        <w:rPr>
          <w:kern w:val="36"/>
          <w:szCs w:val="30"/>
          <w:lang w:val="en-IN" w:eastAsia="en-IN"/>
          <w14:ligatures w14:val="standardContextual"/>
        </w:rPr>
      </w:pPr>
      <w:r>
        <w:rPr>
          <w:b/>
          <w:sz w:val="22"/>
        </w:rPr>
        <w:t>2.1 Shift Changeover Delay Time - Week 36</w:t>
      </w:r>
    </w:p>
    <w:p w14:paraId="04D107EC">
      <w:pPr>
        <w:spacing w:after="100"/>
        <w:rPr>
          <w:kern w:val="2"/>
          <w:szCs w:val="18"/>
          <w:lang w:val="en-IN" w:eastAsia="en-IN"/>
          <w14:ligatures w14:val="standardContextual"/>
        </w:rPr>
      </w:pPr>
      <w:r>
        <w:rPr>
          <w:b w:val="0"/>
          <w:sz w:val="18"/>
        </w:rPr>
        <w:t>Shift changeover delay is a controllable availability loss. Week 36 data show delay time during handover and start-up stabilization.</w:t>
      </w:r>
    </w:p>
    <w:tbl>
      <w:tblPr>
        <w:tblStyle w:val="35"/>
        <w:tblW w:w="0" w:type="auto"/>
        <w:tblInd w:w="20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98"/>
        <w:gridCol w:w="1798"/>
      </w:tblGrid>
      <w:tr w14:paraId="37951E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239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E076F4">
            <w:pPr>
              <w:spacing w:after="0" w:line="240" w:lineRule="auto"/>
              <w:jc w:val="center"/>
              <w:rPr>
                <w:kern w:val="2"/>
                <w:szCs w:val="18"/>
                <w:lang w:val="en-IN" w:eastAsia="en-IN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Shift changeover</w:t>
            </w:r>
          </w:p>
        </w:tc>
        <w:tc>
          <w:tcPr>
            <w:tcW w:w="1798" w:type="dxa"/>
            <w:tcBorders>
              <w:top w:val="single" w:color="FFFFFF" w:sz="8" w:space="0"/>
              <w:left w:val="nil"/>
              <w:bottom w:val="single" w:color="FFFFFF" w:sz="8" w:space="0"/>
              <w:right w:val="single" w:color="FFFFFF" w:sz="8" w:space="0"/>
            </w:tcBorders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404E8D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Delay time</w:t>
            </w:r>
          </w:p>
        </w:tc>
      </w:tr>
      <w:tr w14:paraId="341FA6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020F9E">
            <w:pPr>
              <w:spacing w:after="0" w:line="240" w:lineRule="auto"/>
            </w:pPr>
            <w:r>
              <w:rPr>
                <w:b w:val="0"/>
                <w:sz w:val="16"/>
              </w:rPr>
              <w:t>Shift A Changeover Delay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C538BF">
            <w:pPr>
              <w:spacing w:after="0" w:line="240" w:lineRule="auto"/>
            </w:pPr>
            <w:r>
              <w:rPr>
                <w:b w:val="0"/>
                <w:sz w:val="16"/>
              </w:rPr>
              <w:t>1977.90 min</w:t>
            </w:r>
          </w:p>
        </w:tc>
      </w:tr>
      <w:tr w14:paraId="6B90D1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77FCB8">
            <w:pPr>
              <w:spacing w:after="0" w:line="240" w:lineRule="auto"/>
            </w:pPr>
            <w:r>
              <w:rPr>
                <w:b w:val="0"/>
                <w:sz w:val="16"/>
              </w:rPr>
              <w:t>Shift B Changeover Delay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8DF0F5">
            <w:pPr>
              <w:spacing w:after="0" w:line="240" w:lineRule="auto"/>
            </w:pPr>
            <w:r>
              <w:rPr>
                <w:b w:val="0"/>
                <w:sz w:val="16"/>
              </w:rPr>
              <w:t>82.10 min</w:t>
            </w:r>
          </w:p>
        </w:tc>
      </w:tr>
      <w:tr w14:paraId="3AB51A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F62D9B">
            <w:pPr>
              <w:spacing w:after="0" w:line="240" w:lineRule="auto"/>
            </w:pPr>
            <w:r>
              <w:rPr>
                <w:b w:val="0"/>
                <w:sz w:val="16"/>
              </w:rPr>
              <w:t>Shift C Changeover Delay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ABA09F">
            <w:pPr>
              <w:spacing w:after="0" w:line="240" w:lineRule="auto"/>
            </w:pPr>
            <w:r>
              <w:rPr>
                <w:b w:val="0"/>
                <w:sz w:val="16"/>
              </w:rPr>
              <w:t>160.40 min</w:t>
            </w:r>
          </w:p>
        </w:tc>
      </w:tr>
      <w:tr w14:paraId="61375E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CE4D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C52301">
            <w:pPr>
              <w:spacing w:after="0" w:line="240" w:lineRule="auto"/>
            </w:pPr>
            <w:r>
              <w:rPr>
                <w:b w:val="0"/>
                <w:sz w:val="16"/>
              </w:rPr>
              <w:t>Total Week 36 delay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CE4D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4AD81C">
            <w:pPr>
              <w:spacing w:after="0" w:line="240" w:lineRule="auto"/>
            </w:pPr>
            <w:r>
              <w:rPr>
                <w:b w:val="0"/>
                <w:sz w:val="16"/>
              </w:rPr>
              <w:t>2220.40 min</w:t>
            </w:r>
          </w:p>
        </w:tc>
      </w:tr>
    </w:tbl>
    <w:p w14:paraId="21348B6B">
      <w:pPr>
        <w:rPr>
          <w:kern w:val="2"/>
          <w:szCs w:val="18"/>
          <w:lang w:val="en-IN" w:eastAsia="en-IN"/>
          <w14:ligatures w14:val="standardContextual"/>
        </w:rPr>
      </w:pPr>
    </w:p>
    <w:p w14:paraId="02703B90">
      <w:p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br w:type="page"/>
      </w:r>
    </w:p>
    <w:p w14:paraId="24C48152">
      <w:r>
        <w:rPr>
          <w:b/>
          <w:sz w:val="22"/>
        </w:rPr>
        <w:t>2.2 Spout Downtime by Machine - Week 36</w:t>
      </w:r>
    </w:p>
    <w:p w14:paraId="5F7026B3">
      <w:r>
        <w:rPr>
          <w:b w:val="0"/>
          <w:sz w:val="18"/>
        </w:rPr>
        <w:t>Spout-level downtime highlights which individual spouts are driving each machine's Spout Fault minutes, so maintenance can target the specific spouts responsible rather than the machine as a whole.</w:t>
      </w:r>
    </w:p>
    <w:p w14:paraId="672EB22D">
      <w:r>
        <w:rPr>
          <w:b/>
          <w:sz w:val="18"/>
        </w:rPr>
        <w:t>Fillpac 1 (PLC_01)</w:t>
      </w:r>
    </w:p>
    <w:p w14:paraId="79A00195">
      <w:r>
        <w:drawing>
          <wp:inline distT="0" distB="0" distL="114300" distR="114300">
            <wp:extent cx="5499735" cy="3032760"/>
            <wp:effectExtent l="0" t="0" r="0" b="0"/>
            <wp:docPr id="1421391284" name="Picture 1421391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391284" name="Picture 142139128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3032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0A8E2">
      <w:r>
        <w:rPr>
          <w:b/>
          <w:sz w:val="18"/>
        </w:rPr>
        <w:t>Fillpac 2 (PLC_02)</w:t>
      </w:r>
    </w:p>
    <w:p w14:paraId="06369CE0">
      <w:r>
        <w:drawing>
          <wp:inline distT="0" distB="0" distL="114300" distR="114300">
            <wp:extent cx="5499735" cy="3032760"/>
            <wp:effectExtent l="0" t="0" r="0" b="0"/>
            <wp:docPr id="1421391285" name="Picture 1421391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391285" name="Picture 142139128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3032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9C33A">
      <w:pPr>
        <w:pStyle w:val="2"/>
        <w:pageBreakBefore/>
      </w:pPr>
      <w:r>
        <w:rPr>
          <w:b/>
          <w:sz w:val="30"/>
        </w:rPr>
        <w:t>3. Quality, Fault Risk and Improvement Opportunity</w:t>
      </w:r>
    </w:p>
    <w:p w14:paraId="59B35F96">
      <w:pPr>
        <w:spacing w:after="100"/>
        <w:rPr>
          <w:rFonts w:asciiTheme="majorHAnsi" w:hAnsiTheme="majorHAnsi" w:cstheme="majorHAnsi"/>
          <w:sz w:val="20"/>
          <w:szCs w:val="20"/>
        </w:rPr>
      </w:pPr>
      <w:r>
        <w:rPr>
          <w:b w:val="0"/>
          <w:sz w:val="18"/>
        </w:rPr>
        <w:t>Out of Limit Bags is the largest quality-loss cause at 5475.00 bags, out of 8324.00 total quality-loss bags (1.72% of production).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7"/>
        <w:gridCol w:w="2548"/>
        <w:gridCol w:w="1159"/>
        <w:gridCol w:w="447"/>
        <w:gridCol w:w="2550"/>
        <w:gridCol w:w="2121"/>
      </w:tblGrid>
      <w:tr w14:paraId="326A7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5637" w:type="dxa"/>
          <w:jc w:val="center"/>
        </w:trPr>
        <w:tc>
          <w:tcPr>
            <w:tcW w:w="5009" w:type="dxa"/>
            <w:gridSpan w:val="3"/>
            <w:shd w:val="clear" w:color="auto" w:fill="D9EAF7"/>
            <w:vAlign w:val="center"/>
          </w:tcPr>
          <w:p w14:paraId="5166F454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color w:val="17365D"/>
                <w:sz w:val="20"/>
                <w:szCs w:val="20"/>
              </w:rPr>
              <w:t>Quality Loss Mix</w:t>
            </w:r>
          </w:p>
        </w:tc>
      </w:tr>
      <w:tr w14:paraId="2310D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5637" w:type="dxa"/>
          <w:jc w:val="center"/>
        </w:trPr>
        <w:tc>
          <w:tcPr>
            <w:tcW w:w="5009" w:type="dxa"/>
            <w:gridSpan w:val="3"/>
          </w:tcPr>
          <w:p w14:paraId="38D616BB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drawing>
                <wp:inline distT="0" distB="0" distL="114300" distR="114300">
                  <wp:extent cx="3403600" cy="2075180"/>
                  <wp:effectExtent l="0" t="0" r="0" b="0"/>
                  <wp:docPr id="1421391286" name="Picture 14213912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1391286" name="Picture 142139128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4201" cy="2075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1EA9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38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17365D"/>
            <w:vAlign w:val="center"/>
          </w:tcPr>
          <w:p w14:paraId="595A9B52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Code</w:t>
            </w:r>
          </w:p>
        </w:tc>
        <w:tc>
          <w:tcPr>
            <w:tcW w:w="1985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17365D"/>
            <w:vAlign w:val="center"/>
          </w:tcPr>
          <w:p w14:paraId="04057BA0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701" w:type="dxa"/>
            <w:gridSpan w:val="2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17365D"/>
            <w:vAlign w:val="center"/>
          </w:tcPr>
          <w:p w14:paraId="4BD8FDEC">
            <w:pPr>
              <w:spacing w:after="0" w:line="240" w:lineRule="auto"/>
            </w:pPr>
            <w:r>
              <w:rPr>
                <w:b/>
                <w:sz w:val="16"/>
              </w:rPr>
              <w:t>Quantity</w:t>
            </w:r>
          </w:p>
        </w:tc>
        <w:tc>
          <w:tcPr>
            <w:tcW w:w="2808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17365D"/>
            <w:vAlign w:val="center"/>
          </w:tcPr>
          <w:p w14:paraId="5FDD0D2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What it means</w:t>
            </w:r>
          </w:p>
        </w:tc>
        <w:tc>
          <w:tcPr>
            <w:tcW w:w="231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17365D"/>
            <w:vAlign w:val="center"/>
          </w:tcPr>
          <w:p w14:paraId="3E4ED914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Control action</w:t>
            </w:r>
          </w:p>
        </w:tc>
      </w:tr>
      <w:tr w14:paraId="42998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  <w:vAlign w:val="center"/>
          </w:tcPr>
          <w:p w14:paraId="78D2C378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1</w:t>
            </w:r>
          </w:p>
        </w:tc>
        <w:tc>
          <w:tcPr>
            <w:tcW w:w="1985" w:type="dxa"/>
            <w:vAlign w:val="center"/>
          </w:tcPr>
          <w:p w14:paraId="0E4C2710">
            <w:pPr>
              <w:spacing w:after="0" w:line="240" w:lineRule="auto"/>
            </w:pPr>
            <w:r>
              <w:rPr>
                <w:b w:val="0"/>
                <w:sz w:val="14"/>
              </w:rPr>
              <w:t>Good Bags</w:t>
            </w:r>
          </w:p>
        </w:tc>
        <w:tc>
          <w:tcPr>
            <w:tcW w:w="1701" w:type="dxa"/>
            <w:gridSpan w:val="2"/>
            <w:vAlign w:val="center"/>
          </w:tcPr>
          <w:p w14:paraId="5DBAF131">
            <w:pPr>
              <w:spacing w:after="0" w:line="240" w:lineRule="auto"/>
            </w:pPr>
            <w:r>
              <w:rPr>
                <w:b w:val="0"/>
                <w:sz w:val="14"/>
              </w:rPr>
              <w:t>474589 bags</w:t>
            </w:r>
          </w:p>
        </w:tc>
        <w:tc>
          <w:tcPr>
            <w:tcW w:w="2808" w:type="dxa"/>
            <w:vAlign w:val="center"/>
          </w:tcPr>
          <w:p w14:paraId="522011B4">
            <w:pPr>
              <w:spacing w:after="0" w:line="240" w:lineRule="auto"/>
            </w:pPr>
            <w:r>
              <w:rPr>
                <w:b w:val="0"/>
                <w:sz w:val="14"/>
              </w:rPr>
              <w:t>Good Bags represents 98.28% of total bags produced this week.</w:t>
            </w:r>
          </w:p>
        </w:tc>
        <w:tc>
          <w:tcPr>
            <w:tcW w:w="2314" w:type="dxa"/>
            <w:vAlign w:val="center"/>
          </w:tcPr>
          <w:p w14:paraId="04E66C18">
            <w:pPr>
              <w:spacing w:after="0" w:line="240" w:lineRule="auto"/>
            </w:pPr>
            <w:r>
              <w:rPr>
                <w:b w:val="0"/>
                <w:sz w:val="14"/>
              </w:rPr>
              <w:t>Baseline reference — no corrective action required.</w:t>
            </w:r>
          </w:p>
        </w:tc>
      </w:tr>
      <w:tr w14:paraId="173E9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  <w:vAlign w:val="center"/>
          </w:tcPr>
          <w:p w14:paraId="5CACF92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2</w:t>
            </w:r>
          </w:p>
        </w:tc>
        <w:tc>
          <w:tcPr>
            <w:tcW w:w="1985" w:type="dxa"/>
            <w:vAlign w:val="center"/>
          </w:tcPr>
          <w:p w14:paraId="65C07F98">
            <w:pPr>
              <w:spacing w:after="0" w:line="240" w:lineRule="auto"/>
            </w:pPr>
            <w:r>
              <w:rPr>
                <w:b w:val="0"/>
                <w:sz w:val="14"/>
              </w:rPr>
              <w:t>Out of Limit Bags</w:t>
            </w:r>
          </w:p>
        </w:tc>
        <w:tc>
          <w:tcPr>
            <w:tcW w:w="1701" w:type="dxa"/>
            <w:gridSpan w:val="2"/>
            <w:vAlign w:val="center"/>
          </w:tcPr>
          <w:p w14:paraId="357B62B1">
            <w:pPr>
              <w:spacing w:after="0" w:line="240" w:lineRule="auto"/>
            </w:pPr>
            <w:r>
              <w:rPr>
                <w:b w:val="0"/>
                <w:sz w:val="14"/>
              </w:rPr>
              <w:t>5475 bags</w:t>
            </w:r>
          </w:p>
        </w:tc>
        <w:tc>
          <w:tcPr>
            <w:tcW w:w="2808" w:type="dxa"/>
            <w:vAlign w:val="center"/>
          </w:tcPr>
          <w:p w14:paraId="5228D538">
            <w:pPr>
              <w:spacing w:after="0" w:line="240" w:lineRule="auto"/>
            </w:pPr>
            <w:r>
              <w:rPr>
                <w:b w:val="0"/>
                <w:sz w:val="14"/>
              </w:rPr>
              <w:t>Out of Limit Bags represents 1.13% of total bags produced this week.</w:t>
            </w:r>
          </w:p>
        </w:tc>
        <w:tc>
          <w:tcPr>
            <w:tcW w:w="2314" w:type="dxa"/>
            <w:vAlign w:val="center"/>
          </w:tcPr>
          <w:p w14:paraId="5616F664">
            <w:pPr>
              <w:spacing w:after="0" w:line="240" w:lineRule="auto"/>
            </w:pPr>
            <w:r>
              <w:rPr>
                <w:b w:val="0"/>
                <w:sz w:val="14"/>
              </w:rPr>
              <w:t>Review process records associated with Out of Limit Bags and prioritize corrective action.</w:t>
            </w:r>
          </w:p>
        </w:tc>
      </w:tr>
      <w:tr w14:paraId="3CE1C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  <w:vAlign w:val="center"/>
          </w:tcPr>
          <w:p w14:paraId="2776C212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3</w:t>
            </w:r>
          </w:p>
        </w:tc>
        <w:tc>
          <w:tcPr>
            <w:tcW w:w="1985" w:type="dxa"/>
            <w:vAlign w:val="center"/>
          </w:tcPr>
          <w:p w14:paraId="5DC2C237">
            <w:pPr>
              <w:spacing w:after="0" w:line="240" w:lineRule="auto"/>
            </w:pPr>
            <w:r>
              <w:rPr>
                <w:b w:val="0"/>
                <w:sz w:val="14"/>
              </w:rPr>
              <w:t>Burst Bags</w:t>
            </w:r>
          </w:p>
        </w:tc>
        <w:tc>
          <w:tcPr>
            <w:tcW w:w="1701" w:type="dxa"/>
            <w:gridSpan w:val="2"/>
            <w:vAlign w:val="center"/>
          </w:tcPr>
          <w:p w14:paraId="46F53477">
            <w:pPr>
              <w:spacing w:after="0" w:line="240" w:lineRule="auto"/>
            </w:pPr>
            <w:r>
              <w:rPr>
                <w:b w:val="0"/>
                <w:sz w:val="14"/>
              </w:rPr>
              <w:t>2849 bags</w:t>
            </w:r>
          </w:p>
        </w:tc>
        <w:tc>
          <w:tcPr>
            <w:tcW w:w="2808" w:type="dxa"/>
            <w:vAlign w:val="center"/>
          </w:tcPr>
          <w:p w14:paraId="4B0F56B0">
            <w:pPr>
              <w:spacing w:after="0" w:line="240" w:lineRule="auto"/>
            </w:pPr>
            <w:r>
              <w:rPr>
                <w:b w:val="0"/>
                <w:sz w:val="14"/>
              </w:rPr>
              <w:t>Burst Bags represents 0.59% of total bags produced this week.</w:t>
            </w:r>
          </w:p>
        </w:tc>
        <w:tc>
          <w:tcPr>
            <w:tcW w:w="2314" w:type="dxa"/>
            <w:vAlign w:val="center"/>
          </w:tcPr>
          <w:p w14:paraId="39B108B2">
            <w:pPr>
              <w:spacing w:after="0" w:line="240" w:lineRule="auto"/>
            </w:pPr>
            <w:r>
              <w:rPr>
                <w:b w:val="0"/>
                <w:sz w:val="14"/>
              </w:rPr>
              <w:t>Review process records associated with Burst Bags and prioritize corrective action.</w:t>
            </w:r>
          </w:p>
        </w:tc>
      </w:tr>
      <w:tr w14:paraId="2D180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46" w:type="dxa"/>
            <w:gridSpan w:val="6"/>
            <w:tcBorders>
              <w:top w:val="single" w:color="FFC000" w:sz="14" w:space="0"/>
              <w:left w:val="single" w:color="FFC000" w:sz="14" w:space="0"/>
              <w:bottom w:val="single" w:color="FFC000" w:sz="14" w:space="0"/>
              <w:right w:val="single" w:color="FFC000" w:sz="14" w:space="0"/>
            </w:tcBorders>
            <w:shd w:val="clear" w:color="auto" w:fill="FFF2CC"/>
          </w:tcPr>
          <w:p w14:paraId="5B37FA3C">
            <w:pPr>
              <w:spacing w:after="0" w:line="240" w:lineRule="auto"/>
            </w:pPr>
            <w:r>
              <w:rPr>
                <w:b/>
                <w:sz w:val="16"/>
              </w:rPr>
              <w:t>Quality insight</w:t>
            </w:r>
            <w:r>
              <w:rPr>
                <w:b/>
                <w:sz w:val="16"/>
              </w:rPr>
              <w:br w:type="textWrapping"/>
            </w:r>
            <w:r>
              <w:rPr>
                <w:b w:val="0"/>
                <w:sz w:val="16"/>
              </w:rPr>
              <w:t>Out of Limit Bags is the largest quality-loss category this week at 5475 bags (1.13% of total bags produced). Addressing it is the next-best lever after availability, since it directly improves dispatchable good bags and reduces customer risk.</w:t>
            </w:r>
          </w:p>
        </w:tc>
      </w:tr>
    </w:tbl>
    <w:p w14:paraId="26394A5C">
      <w:pPr>
        <w:jc w:val="center"/>
        <w:rPr>
          <w:rFonts w:asciiTheme="majorHAnsi" w:hAnsiTheme="majorHAnsi" w:cstheme="majorHAnsi"/>
          <w:sz w:val="20"/>
          <w:szCs w:val="20"/>
        </w:rPr>
      </w:pPr>
    </w:p>
    <w:p w14:paraId="6E81DF87">
      <w:pPr>
        <w:jc w:val="center"/>
        <w:rPr>
          <w:rFonts w:asciiTheme="majorHAnsi" w:hAnsiTheme="majorHAnsi" w:cstheme="majorHAnsi"/>
          <w:sz w:val="20"/>
          <w:szCs w:val="20"/>
        </w:rPr>
      </w:pPr>
    </w:p>
    <w:p w14:paraId="446EF16E">
      <w:pPr>
        <w:jc w:val="center"/>
        <w:rPr>
          <w:rFonts w:asciiTheme="majorHAnsi" w:hAnsiTheme="majorHAnsi" w:cstheme="majorHAnsi"/>
          <w:sz w:val="20"/>
          <w:szCs w:val="20"/>
        </w:rPr>
      </w:pPr>
    </w:p>
    <w:p w14:paraId="417F63E3">
      <w:pPr>
        <w:jc w:val="center"/>
        <w:rPr>
          <w:rFonts w:asciiTheme="majorHAnsi" w:hAnsiTheme="majorHAnsi" w:cstheme="majorHAnsi"/>
          <w:sz w:val="20"/>
          <w:szCs w:val="20"/>
        </w:rPr>
      </w:pPr>
    </w:p>
    <w:p w14:paraId="44E17202">
      <w:pPr>
        <w:jc w:val="center"/>
        <w:rPr>
          <w:rFonts w:asciiTheme="majorHAnsi" w:hAnsiTheme="majorHAnsi" w:cstheme="majorHAnsi"/>
          <w:sz w:val="20"/>
          <w:szCs w:val="20"/>
        </w:rPr>
      </w:pPr>
    </w:p>
    <w:p w14:paraId="794EFE99">
      <w:pPr>
        <w:jc w:val="center"/>
        <w:rPr>
          <w:rFonts w:asciiTheme="majorHAnsi" w:hAnsiTheme="majorHAnsi" w:cstheme="majorHAnsi"/>
          <w:sz w:val="20"/>
          <w:szCs w:val="20"/>
        </w:rPr>
      </w:pPr>
    </w:p>
    <w:p w14:paraId="608F6524">
      <w:pPr>
        <w:jc w:val="center"/>
        <w:rPr>
          <w:rFonts w:asciiTheme="majorHAnsi" w:hAnsiTheme="majorHAnsi" w:cstheme="majorHAnsi"/>
          <w:sz w:val="20"/>
          <w:szCs w:val="20"/>
        </w:rPr>
      </w:pPr>
    </w:p>
    <w:p w14:paraId="3333CD9E">
      <w:pPr>
        <w:jc w:val="center"/>
        <w:rPr>
          <w:rFonts w:asciiTheme="majorHAnsi" w:hAnsiTheme="majorHAnsi" w:cstheme="majorHAnsi"/>
          <w:sz w:val="20"/>
          <w:szCs w:val="20"/>
        </w:rPr>
      </w:pPr>
    </w:p>
    <w:p w14:paraId="451CDBDB">
      <w:pPr>
        <w:jc w:val="center"/>
        <w:rPr>
          <w:rFonts w:asciiTheme="majorHAnsi" w:hAnsiTheme="majorHAnsi" w:cstheme="majorHAnsi"/>
          <w:sz w:val="20"/>
          <w:szCs w:val="20"/>
        </w:rPr>
      </w:pPr>
    </w:p>
    <w:p w14:paraId="35F3C92E">
      <w:pPr>
        <w:jc w:val="center"/>
        <w:rPr>
          <w:rFonts w:asciiTheme="majorHAnsi" w:hAnsiTheme="majorHAnsi" w:cstheme="majorHAnsi"/>
          <w:sz w:val="20"/>
          <w:szCs w:val="20"/>
        </w:rPr>
      </w:pPr>
    </w:p>
    <w:p w14:paraId="2C27E2BA">
      <w:pPr>
        <w:jc w:val="center"/>
        <w:rPr>
          <w:rFonts w:asciiTheme="majorHAnsi" w:hAnsiTheme="majorHAnsi" w:cstheme="majorHAnsi"/>
          <w:sz w:val="20"/>
          <w:szCs w:val="20"/>
        </w:rPr>
      </w:pPr>
    </w:p>
    <w:p w14:paraId="3D4F0E6C">
      <w:pPr>
        <w:jc w:val="center"/>
        <w:rPr>
          <w:rFonts w:asciiTheme="majorHAnsi" w:hAnsiTheme="majorHAnsi" w:cstheme="majorHAnsi"/>
          <w:sz w:val="20"/>
          <w:szCs w:val="20"/>
        </w:rPr>
      </w:pPr>
    </w:p>
    <w:p w14:paraId="29672A01">
      <w:pPr>
        <w:pStyle w:val="2"/>
        <w:pageBreakBefore/>
      </w:pPr>
      <w:r>
        <w:rPr>
          <w:b/>
          <w:sz w:val="30"/>
        </w:rPr>
        <w:t>4. Action Plan: What to Do Next Week</w:t>
      </w:r>
    </w:p>
    <w:p w14:paraId="75C331B7">
      <w:pPr>
        <w:spacing w:after="100"/>
        <w:rPr>
          <w:rFonts w:asciiTheme="majorHAnsi" w:hAnsiTheme="majorHAnsi" w:cstheme="majorHAnsi"/>
          <w:sz w:val="20"/>
          <w:szCs w:val="20"/>
        </w:rPr>
      </w:pPr>
      <w:r>
        <w:rPr>
          <w:b w:val="0"/>
          <w:sz w:val="18"/>
        </w:rPr>
        <w:t>Actions are prioritized from the verified OEE losses and AI-generated recommendations.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3"/>
        <w:gridCol w:w="888"/>
        <w:gridCol w:w="887"/>
        <w:gridCol w:w="1772"/>
        <w:gridCol w:w="1773"/>
        <w:gridCol w:w="888"/>
        <w:gridCol w:w="886"/>
        <w:gridCol w:w="1773"/>
      </w:tblGrid>
      <w:tr w14:paraId="41B69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73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17365D"/>
            <w:vAlign w:val="center"/>
          </w:tcPr>
          <w:p w14:paraId="5C573303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775" w:type="dxa"/>
            <w:gridSpan w:val="2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17365D"/>
            <w:vAlign w:val="center"/>
          </w:tcPr>
          <w:p w14:paraId="184CEB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177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17365D"/>
            <w:vAlign w:val="center"/>
          </w:tcPr>
          <w:p w14:paraId="5A02F9BF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Fault code</w:t>
            </w:r>
          </w:p>
        </w:tc>
        <w:tc>
          <w:tcPr>
            <w:tcW w:w="1773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17365D"/>
            <w:vAlign w:val="center"/>
          </w:tcPr>
          <w:p w14:paraId="3F3405C1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1774" w:type="dxa"/>
            <w:gridSpan w:val="2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17365D"/>
            <w:vAlign w:val="center"/>
          </w:tcPr>
          <w:p w14:paraId="49CD9022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Success measure</w:t>
            </w:r>
          </w:p>
        </w:tc>
        <w:tc>
          <w:tcPr>
            <w:tcW w:w="1773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17365D"/>
            <w:vAlign w:val="center"/>
          </w:tcPr>
          <w:p w14:paraId="6E1F4C14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Review frequency</w:t>
            </w:r>
          </w:p>
        </w:tc>
      </w:tr>
      <w:tr w14:paraId="0AF20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3" w:type="dxa"/>
            <w:shd w:val="clear" w:color="auto" w:fill="F8CBAD"/>
            <w:vAlign w:val="center"/>
          </w:tcPr>
          <w:p w14:paraId="4BCF5FF8">
            <w:pPr>
              <w:spacing w:after="0" w:line="240" w:lineRule="auto"/>
              <w:jc w:val="center"/>
            </w:pPr>
            <w:r>
              <w:rPr>
                <w:b w:val="0"/>
                <w:sz w:val="14"/>
              </w:rPr>
              <w:t>P1</w:t>
            </w:r>
          </w:p>
        </w:tc>
        <w:tc>
          <w:tcPr>
            <w:tcW w:w="1775" w:type="dxa"/>
            <w:gridSpan w:val="2"/>
            <w:vAlign w:val="center"/>
          </w:tcPr>
          <w:p w14:paraId="5F4A40FC">
            <w:pPr>
              <w:spacing w:after="0" w:line="240" w:lineRule="auto"/>
            </w:pPr>
            <w:r>
              <w:rPr>
                <w:b w:val="0"/>
                <w:sz w:val="14"/>
              </w:rPr>
              <w:t>Maintenance + Production</w:t>
            </w:r>
          </w:p>
        </w:tc>
        <w:tc>
          <w:tcPr>
            <w:tcW w:w="1772" w:type="dxa"/>
            <w:vAlign w:val="center"/>
          </w:tcPr>
          <w:p w14:paraId="0A4003B6">
            <w:pPr>
              <w:spacing w:after="0" w:line="240" w:lineRule="auto"/>
            </w:pPr>
            <w:r>
              <w:rPr>
                <w:b w:val="0"/>
                <w:sz w:val="14"/>
              </w:rPr>
              <w:t>Maintenance + Production</w:t>
            </w:r>
          </w:p>
        </w:tc>
        <w:tc>
          <w:tcPr>
            <w:tcW w:w="1773" w:type="dxa"/>
            <w:vAlign w:val="center"/>
          </w:tcPr>
          <w:p w14:paraId="5EABFC19">
            <w:pPr>
              <w:spacing w:after="0" w:line="240" w:lineRule="auto"/>
            </w:pPr>
            <w:r>
              <w:rPr>
                <w:b w:val="0"/>
                <w:sz w:val="14"/>
              </w:rPr>
              <w:t>Fillpac 1 Main Drive Stop</w:t>
            </w:r>
          </w:p>
        </w:tc>
        <w:tc>
          <w:tcPr>
            <w:tcW w:w="1774" w:type="dxa"/>
            <w:gridSpan w:val="2"/>
            <w:vAlign w:val="center"/>
          </w:tcPr>
          <w:p w14:paraId="2352C15D">
            <w:pPr>
              <w:spacing w:after="0" w:line="240" w:lineRule="auto"/>
            </w:pPr>
            <w:r>
              <w:rPr>
                <w:b w:val="0"/>
                <w:sz w:val="14"/>
              </w:rPr>
              <w:t>Reduce Fillpac 1 Main Drive Stop downtime (currently 3423.12 minutes this week) to recover Availability.</w:t>
            </w:r>
          </w:p>
        </w:tc>
        <w:tc>
          <w:tcPr>
            <w:tcW w:w="1773" w:type="dxa"/>
            <w:vAlign w:val="center"/>
          </w:tcPr>
          <w:p w14:paraId="359C1D1D">
            <w:pPr>
              <w:spacing w:after="0" w:line="240" w:lineRule="auto"/>
            </w:pPr>
            <w:r>
              <w:rPr>
                <w:b w:val="0"/>
                <w:sz w:val="14"/>
              </w:rPr>
              <w:t>Cut Fillpac 1 Main Drive Stop downtime versus this week's 3423.12 minutes.</w:t>
            </w:r>
          </w:p>
        </w:tc>
      </w:tr>
      <w:tr w14:paraId="0D578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3" w:type="dxa"/>
            <w:shd w:val="clear" w:color="auto" w:fill="F8CBAD"/>
            <w:vAlign w:val="center"/>
          </w:tcPr>
          <w:p w14:paraId="1BB5497C">
            <w:pPr>
              <w:spacing w:after="0" w:line="240" w:lineRule="auto"/>
              <w:jc w:val="center"/>
            </w:pPr>
            <w:r>
              <w:rPr>
                <w:b w:val="0"/>
                <w:sz w:val="14"/>
              </w:rPr>
              <w:t>P1</w:t>
            </w:r>
          </w:p>
        </w:tc>
        <w:tc>
          <w:tcPr>
            <w:tcW w:w="1775" w:type="dxa"/>
            <w:gridSpan w:val="2"/>
            <w:vAlign w:val="center"/>
          </w:tcPr>
          <w:p w14:paraId="695C1707">
            <w:pPr>
              <w:spacing w:after="0" w:line="240" w:lineRule="auto"/>
            </w:pPr>
            <w:r>
              <w:rPr>
                <w:b w:val="0"/>
                <w:sz w:val="14"/>
              </w:rPr>
              <w:t>Maintenance + Production</w:t>
            </w:r>
          </w:p>
        </w:tc>
        <w:tc>
          <w:tcPr>
            <w:tcW w:w="1772" w:type="dxa"/>
            <w:vAlign w:val="center"/>
          </w:tcPr>
          <w:p w14:paraId="4F751FA0">
            <w:pPr>
              <w:spacing w:after="0" w:line="240" w:lineRule="auto"/>
            </w:pPr>
            <w:r>
              <w:rPr>
                <w:b w:val="0"/>
                <w:sz w:val="14"/>
              </w:rPr>
              <w:t>Maintenance + Production</w:t>
            </w:r>
          </w:p>
        </w:tc>
        <w:tc>
          <w:tcPr>
            <w:tcW w:w="1773" w:type="dxa"/>
            <w:vAlign w:val="center"/>
          </w:tcPr>
          <w:p w14:paraId="3CFC179E">
            <w:pPr>
              <w:spacing w:after="0" w:line="240" w:lineRule="auto"/>
            </w:pPr>
            <w:r>
              <w:rPr>
                <w:b w:val="0"/>
                <w:sz w:val="14"/>
              </w:rPr>
              <w:t>Fillpac 2 Main Drive Stop</w:t>
            </w:r>
          </w:p>
        </w:tc>
        <w:tc>
          <w:tcPr>
            <w:tcW w:w="1774" w:type="dxa"/>
            <w:gridSpan w:val="2"/>
            <w:vAlign w:val="center"/>
          </w:tcPr>
          <w:p w14:paraId="50B07108">
            <w:pPr>
              <w:spacing w:after="0" w:line="240" w:lineRule="auto"/>
            </w:pPr>
            <w:r>
              <w:rPr>
                <w:b w:val="0"/>
                <w:sz w:val="14"/>
              </w:rPr>
              <w:t>Reduce Fillpac 2 Main Drive Stop downtime (currently 1939.82 minutes this week) to recover Availability.</w:t>
            </w:r>
          </w:p>
        </w:tc>
        <w:tc>
          <w:tcPr>
            <w:tcW w:w="1773" w:type="dxa"/>
            <w:vAlign w:val="center"/>
          </w:tcPr>
          <w:p w14:paraId="4E5D162B">
            <w:pPr>
              <w:spacing w:after="0" w:line="240" w:lineRule="auto"/>
            </w:pPr>
            <w:r>
              <w:rPr>
                <w:b w:val="0"/>
                <w:sz w:val="14"/>
              </w:rPr>
              <w:t>Cut Fillpac 2 Main Drive Stop downtime versus this week's 1939.82 minutes.</w:t>
            </w:r>
          </w:p>
        </w:tc>
      </w:tr>
      <w:tr w14:paraId="4EC91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3" w:type="dxa"/>
            <w:shd w:val="clear" w:color="auto" w:fill="F8CBAD"/>
            <w:vAlign w:val="center"/>
          </w:tcPr>
          <w:p w14:paraId="3FD14EAF">
            <w:pPr>
              <w:spacing w:after="0" w:line="240" w:lineRule="auto"/>
              <w:jc w:val="center"/>
            </w:pPr>
            <w:r>
              <w:rPr>
                <w:b w:val="0"/>
                <w:sz w:val="14"/>
              </w:rPr>
              <w:t>P1</w:t>
            </w:r>
          </w:p>
        </w:tc>
        <w:tc>
          <w:tcPr>
            <w:tcW w:w="1775" w:type="dxa"/>
            <w:gridSpan w:val="2"/>
            <w:vAlign w:val="center"/>
          </w:tcPr>
          <w:p w14:paraId="72E91FA8">
            <w:pPr>
              <w:spacing w:after="0" w:line="240" w:lineRule="auto"/>
            </w:pPr>
            <w:r>
              <w:rPr>
                <w:b w:val="0"/>
                <w:sz w:val="14"/>
              </w:rPr>
              <w:t>Maintenance + Production</w:t>
            </w:r>
          </w:p>
        </w:tc>
        <w:tc>
          <w:tcPr>
            <w:tcW w:w="1772" w:type="dxa"/>
            <w:vAlign w:val="center"/>
          </w:tcPr>
          <w:p w14:paraId="1F1CC66D">
            <w:pPr>
              <w:spacing w:after="0" w:line="240" w:lineRule="auto"/>
            </w:pPr>
            <w:r>
              <w:rPr>
                <w:b w:val="0"/>
                <w:sz w:val="14"/>
              </w:rPr>
              <w:t>Maintenance + Production</w:t>
            </w:r>
          </w:p>
        </w:tc>
        <w:tc>
          <w:tcPr>
            <w:tcW w:w="1773" w:type="dxa"/>
            <w:vAlign w:val="center"/>
          </w:tcPr>
          <w:p w14:paraId="66EEF147">
            <w:pPr>
              <w:spacing w:after="0" w:line="240" w:lineRule="auto"/>
            </w:pPr>
            <w:r>
              <w:rPr>
                <w:b w:val="0"/>
                <w:sz w:val="14"/>
              </w:rPr>
              <w:t>Fillpac 2 Belt Not Running</w:t>
            </w:r>
          </w:p>
        </w:tc>
        <w:tc>
          <w:tcPr>
            <w:tcW w:w="1774" w:type="dxa"/>
            <w:gridSpan w:val="2"/>
            <w:vAlign w:val="center"/>
          </w:tcPr>
          <w:p w14:paraId="10A5243B">
            <w:pPr>
              <w:spacing w:after="0" w:line="240" w:lineRule="auto"/>
            </w:pPr>
            <w:r>
              <w:rPr>
                <w:b w:val="0"/>
                <w:sz w:val="14"/>
              </w:rPr>
              <w:t>Reduce Fillpac 2 Belt Not Running downtime (currently 388.32 minutes this week) to recover Availability.</w:t>
            </w:r>
          </w:p>
        </w:tc>
        <w:tc>
          <w:tcPr>
            <w:tcW w:w="1773" w:type="dxa"/>
            <w:vAlign w:val="center"/>
          </w:tcPr>
          <w:p w14:paraId="2A369D7C">
            <w:pPr>
              <w:spacing w:after="0" w:line="240" w:lineRule="auto"/>
            </w:pPr>
            <w:r>
              <w:rPr>
                <w:b w:val="0"/>
                <w:sz w:val="14"/>
              </w:rPr>
              <w:t>Cut Fillpac 2 Belt Not Running downtime versus this week's 388.32 minutes.</w:t>
            </w:r>
          </w:p>
        </w:tc>
      </w:tr>
      <w:tr w14:paraId="66662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3" w:type="dxa"/>
            <w:shd w:val="clear" w:color="auto" w:fill="F8CBAD"/>
            <w:vAlign w:val="center"/>
          </w:tcPr>
          <w:p w14:paraId="364089E6">
            <w:pPr>
              <w:spacing w:after="0" w:line="240" w:lineRule="auto"/>
              <w:jc w:val="center"/>
            </w:pPr>
            <w:r>
              <w:rPr>
                <w:b w:val="0"/>
                <w:sz w:val="14"/>
              </w:rPr>
              <w:t>P1</w:t>
            </w:r>
          </w:p>
        </w:tc>
        <w:tc>
          <w:tcPr>
            <w:tcW w:w="1775" w:type="dxa"/>
            <w:gridSpan w:val="2"/>
            <w:vAlign w:val="center"/>
          </w:tcPr>
          <w:p w14:paraId="3FB66B59">
            <w:pPr>
              <w:spacing w:after="0" w:line="240" w:lineRule="auto"/>
            </w:pPr>
            <w:r>
              <w:rPr>
                <w:b w:val="0"/>
                <w:sz w:val="14"/>
              </w:rPr>
              <w:t>Maintenance + Production</w:t>
            </w:r>
          </w:p>
        </w:tc>
        <w:tc>
          <w:tcPr>
            <w:tcW w:w="1772" w:type="dxa"/>
            <w:vAlign w:val="center"/>
          </w:tcPr>
          <w:p w14:paraId="3A020A37">
            <w:pPr>
              <w:spacing w:after="0" w:line="240" w:lineRule="auto"/>
            </w:pPr>
            <w:r>
              <w:rPr>
                <w:b w:val="0"/>
                <w:sz w:val="14"/>
              </w:rPr>
              <w:t>Maintenance + Production</w:t>
            </w:r>
          </w:p>
        </w:tc>
        <w:tc>
          <w:tcPr>
            <w:tcW w:w="1773" w:type="dxa"/>
            <w:vAlign w:val="center"/>
          </w:tcPr>
          <w:p w14:paraId="0B709D51">
            <w:pPr>
              <w:spacing w:after="0" w:line="240" w:lineRule="auto"/>
            </w:pPr>
            <w:r>
              <w:rPr>
                <w:b w:val="0"/>
                <w:sz w:val="14"/>
              </w:rPr>
              <w:t>Fillpac 1 Spout Fault</w:t>
            </w:r>
          </w:p>
        </w:tc>
        <w:tc>
          <w:tcPr>
            <w:tcW w:w="1774" w:type="dxa"/>
            <w:gridSpan w:val="2"/>
            <w:vAlign w:val="center"/>
          </w:tcPr>
          <w:p w14:paraId="7BE1301C">
            <w:pPr>
              <w:spacing w:after="0" w:line="240" w:lineRule="auto"/>
            </w:pPr>
            <w:r>
              <w:rPr>
                <w:b w:val="0"/>
                <w:sz w:val="14"/>
              </w:rPr>
              <w:t>Reduce Fillpac 1 Spout Fault downtime (currently 115.70 minutes this week) to recover Availability.</w:t>
            </w:r>
          </w:p>
        </w:tc>
        <w:tc>
          <w:tcPr>
            <w:tcW w:w="1773" w:type="dxa"/>
            <w:vAlign w:val="center"/>
          </w:tcPr>
          <w:p w14:paraId="55A32E9A">
            <w:pPr>
              <w:spacing w:after="0" w:line="240" w:lineRule="auto"/>
            </w:pPr>
            <w:r>
              <w:rPr>
                <w:b w:val="0"/>
                <w:sz w:val="14"/>
              </w:rPr>
              <w:t>Cut Fillpac 1 Spout Fault downtime versus this week's 115.70 minutes.</w:t>
            </w:r>
          </w:p>
        </w:tc>
      </w:tr>
      <w:tr w14:paraId="5BDEC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661" w:type="dxa"/>
            <w:gridSpan w:val="2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17365D"/>
            <w:vAlign w:val="center"/>
          </w:tcPr>
          <w:p w14:paraId="771A1F1D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If action is completed</w:t>
            </w:r>
          </w:p>
        </w:tc>
        <w:tc>
          <w:tcPr>
            <w:tcW w:w="2659" w:type="dxa"/>
            <w:gridSpan w:val="2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17365D"/>
            <w:vAlign w:val="center"/>
          </w:tcPr>
          <w:p w14:paraId="40289D9C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Expected change</w:t>
            </w:r>
          </w:p>
        </w:tc>
        <w:tc>
          <w:tcPr>
            <w:tcW w:w="2661" w:type="dxa"/>
            <w:gridSpan w:val="2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17365D"/>
            <w:vAlign w:val="center"/>
          </w:tcPr>
          <w:p w14:paraId="7133501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Approx. OEE result</w:t>
            </w:r>
          </w:p>
        </w:tc>
        <w:tc>
          <w:tcPr>
            <w:tcW w:w="2659" w:type="dxa"/>
            <w:gridSpan w:val="2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17365D"/>
            <w:vAlign w:val="center"/>
          </w:tcPr>
          <w:p w14:paraId="5894B48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Management decision</w:t>
            </w:r>
          </w:p>
        </w:tc>
      </w:tr>
      <w:tr w14:paraId="04902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1" w:type="dxa"/>
            <w:gridSpan w:val="2"/>
            <w:vAlign w:val="center"/>
          </w:tcPr>
          <w:p w14:paraId="2524EDC6">
            <w:pPr>
              <w:spacing w:after="0" w:line="240" w:lineRule="auto"/>
            </w:pPr>
            <w:r>
              <w:rPr>
                <w:b w:val="0"/>
                <w:sz w:val="14"/>
              </w:rPr>
              <w:t>Fillpac 1 Main Drive Stop reduced</w:t>
            </w:r>
          </w:p>
        </w:tc>
        <w:tc>
          <w:tcPr>
            <w:tcW w:w="2659" w:type="dxa"/>
            <w:gridSpan w:val="2"/>
            <w:vAlign w:val="center"/>
          </w:tcPr>
          <w:p w14:paraId="3DA5F303">
            <w:pPr>
              <w:spacing w:after="0" w:line="240" w:lineRule="auto"/>
            </w:pPr>
            <w:r>
              <w:rPr>
                <w:b w:val="0"/>
                <w:sz w:val="14"/>
              </w:rPr>
              <w:t>Availability improves first</w:t>
            </w:r>
          </w:p>
        </w:tc>
        <w:tc>
          <w:tcPr>
            <w:tcW w:w="2661" w:type="dxa"/>
            <w:gridSpan w:val="2"/>
            <w:vAlign w:val="center"/>
          </w:tcPr>
          <w:p w14:paraId="7F23167F">
            <w:pPr>
              <w:spacing w:after="0" w:line="240" w:lineRule="auto"/>
            </w:pPr>
            <w:r>
              <w:rPr>
                <w:b w:val="0"/>
                <w:sz w:val="14"/>
              </w:rPr>
              <w:t>~54.07%</w:t>
            </w:r>
          </w:p>
        </w:tc>
        <w:tc>
          <w:tcPr>
            <w:tcW w:w="2659" w:type="dxa"/>
            <w:gridSpan w:val="2"/>
            <w:vAlign w:val="center"/>
          </w:tcPr>
          <w:p w14:paraId="66214357">
            <w:pPr>
              <w:spacing w:after="0" w:line="240" w:lineRule="auto"/>
            </w:pPr>
            <w:r>
              <w:rPr>
                <w:b w:val="0"/>
                <w:sz w:val="14"/>
              </w:rPr>
              <w:t>Continue the countermeasure until stable</w:t>
            </w:r>
          </w:p>
        </w:tc>
      </w:tr>
      <w:tr w14:paraId="57FDF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1" w:type="dxa"/>
            <w:gridSpan w:val="2"/>
            <w:vAlign w:val="center"/>
          </w:tcPr>
          <w:p w14:paraId="062DA28A">
            <w:pPr>
              <w:spacing w:after="0" w:line="240" w:lineRule="auto"/>
            </w:pPr>
            <w:r>
              <w:rPr>
                <w:b w:val="0"/>
                <w:sz w:val="14"/>
              </w:rPr>
              <w:t>Fillpac 1 Main Drive Stop plus Fillpac 2 Main Drive Stop addressed</w:t>
            </w:r>
          </w:p>
        </w:tc>
        <w:tc>
          <w:tcPr>
            <w:tcW w:w="2659" w:type="dxa"/>
            <w:gridSpan w:val="2"/>
            <w:vAlign w:val="center"/>
          </w:tcPr>
          <w:p w14:paraId="198FDCE7">
            <w:pPr>
              <w:spacing w:after="0" w:line="240" w:lineRule="auto"/>
            </w:pPr>
            <w:r>
              <w:rPr>
                <w:b w:val="0"/>
                <w:sz w:val="14"/>
              </w:rPr>
              <w:t>Near-target recovery</w:t>
            </w:r>
          </w:p>
        </w:tc>
        <w:tc>
          <w:tcPr>
            <w:tcW w:w="2661" w:type="dxa"/>
            <w:gridSpan w:val="2"/>
            <w:vAlign w:val="center"/>
          </w:tcPr>
          <w:p w14:paraId="2CCDEF1E">
            <w:pPr>
              <w:spacing w:after="0" w:line="240" w:lineRule="auto"/>
            </w:pPr>
            <w:r>
              <w:rPr>
                <w:b w:val="0"/>
                <w:sz w:val="14"/>
              </w:rPr>
              <w:t>~70.94%</w:t>
            </w:r>
          </w:p>
        </w:tc>
        <w:tc>
          <w:tcPr>
            <w:tcW w:w="2659" w:type="dxa"/>
            <w:gridSpan w:val="2"/>
            <w:vAlign w:val="center"/>
          </w:tcPr>
          <w:p w14:paraId="4B74855D">
            <w:pPr>
              <w:spacing w:after="0" w:line="240" w:lineRule="auto"/>
            </w:pPr>
            <w:r>
              <w:rPr>
                <w:b w:val="0"/>
                <w:sz w:val="14"/>
              </w:rPr>
              <w:t>Shift focus to Out of Limit Bags, the next-largest quality contributor</w:t>
            </w:r>
          </w:p>
        </w:tc>
      </w:tr>
      <w:tr w14:paraId="63213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1" w:type="dxa"/>
            <w:gridSpan w:val="2"/>
            <w:vAlign w:val="center"/>
          </w:tcPr>
          <w:p w14:paraId="2B47EF67">
            <w:pPr>
              <w:spacing w:after="0" w:line="240" w:lineRule="auto"/>
            </w:pPr>
            <w:r>
              <w:rPr>
                <w:b w:val="0"/>
                <w:sz w:val="14"/>
              </w:rPr>
              <w:t>Availability stable + Out of Limit Bags reduced</w:t>
            </w:r>
          </w:p>
        </w:tc>
        <w:tc>
          <w:tcPr>
            <w:tcW w:w="2659" w:type="dxa"/>
            <w:gridSpan w:val="2"/>
            <w:vAlign w:val="center"/>
          </w:tcPr>
          <w:p w14:paraId="7CAC0AE3">
            <w:pPr>
              <w:spacing w:after="0" w:line="240" w:lineRule="auto"/>
            </w:pPr>
            <w:r>
              <w:rPr>
                <w:b w:val="0"/>
                <w:sz w:val="14"/>
              </w:rPr>
              <w:t>Target recovery</w:t>
            </w:r>
          </w:p>
        </w:tc>
        <w:tc>
          <w:tcPr>
            <w:tcW w:w="2661" w:type="dxa"/>
            <w:gridSpan w:val="2"/>
            <w:vAlign w:val="center"/>
          </w:tcPr>
          <w:p w14:paraId="37EBAF2C">
            <w:pPr>
              <w:spacing w:after="0" w:line="240" w:lineRule="auto"/>
            </w:pPr>
            <w:r>
              <w:rPr>
                <w:b w:val="0"/>
                <w:sz w:val="14"/>
              </w:rPr>
              <w:t>~85.00%</w:t>
            </w:r>
          </w:p>
        </w:tc>
        <w:tc>
          <w:tcPr>
            <w:tcW w:w="2659" w:type="dxa"/>
            <w:gridSpan w:val="2"/>
            <w:vAlign w:val="center"/>
          </w:tcPr>
          <w:p w14:paraId="4081FD06">
            <w:pPr>
              <w:spacing w:after="0" w:line="240" w:lineRule="auto"/>
            </w:pPr>
            <w:r>
              <w:rPr>
                <w:b w:val="0"/>
                <w:sz w:val="14"/>
              </w:rPr>
              <w:t>Standardize the new checks into SOP</w:t>
            </w:r>
          </w:p>
        </w:tc>
      </w:tr>
    </w:tbl>
    <w:p w14:paraId="492CCDD6">
      <w:pPr>
        <w:rPr>
          <w:rFonts w:asciiTheme="majorHAnsi" w:hAnsiTheme="majorHAnsi" w:cstheme="majorHAnsi"/>
          <w:sz w:val="20"/>
          <w:szCs w:val="20"/>
        </w:rPr>
      </w:pPr>
    </w:p>
    <w:p w14:paraId="1F977CE8">
      <w:pPr>
        <w:jc w:val="center"/>
        <w:rPr>
          <w:rFonts w:asciiTheme="majorHAnsi" w:hAnsiTheme="majorHAnsi" w:cstheme="majorHAnsi"/>
          <w:sz w:val="20"/>
          <w:szCs w:val="20"/>
        </w:rPr>
      </w:pPr>
    </w:p>
    <w:p w14:paraId="54AF9E39">
      <w:pPr>
        <w:jc w:val="center"/>
      </w:pPr>
      <w:r>
        <w:drawing>
          <wp:inline distT="0" distB="0" distL="114300" distR="114300">
            <wp:extent cx="3599815" cy="2183765"/>
            <wp:effectExtent l="0" t="0" r="0" b="0"/>
            <wp:docPr id="1421391288" name="Picture 1421391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391288" name="Picture 142139128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184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5" w:type="default"/>
      <w:footerReference r:id="rId6" w:type="default"/>
      <w:pgSz w:w="12240" w:h="15840"/>
      <w:pgMar w:top="720" w:right="792" w:bottom="720" w:left="792" w:header="907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u"/>
    <w:panose1 w:val="02070409020205020404"/>
    <w:charset w:val="00"/>
    <w:family w:val="modern"/>
    <w:pitch w:val="default"/>
    <w:sig w:usb0="00000000" w:usb1="00000000" w:usb2="00000000" w:usb3="00000000" w:csb0="00000001" w:csb1="00000000"/>
  </w:font>
  <w:font w:name="Courier Neu">
    <w:panose1 w:val="02070309020205020404"/>
    <w:charset w:val="00"/>
    <w:family w:val="auto"/>
    <w:pitch w:val="default"/>
    <w:sig w:usb0="00000287" w:usb1="00000000" w:usb2="00000000" w:usb3="00000000" w:csb0="4000009F" w:csb1="DFD74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0DF98D">
    <w:pPr>
      <w:pStyle w:val="18"/>
      <w:jc w:val="center"/>
    </w:pPr>
    <w:r>
      <w:rPr>
        <w:sz w:val="14"/>
      </w:rPr>
      <w:t>Fillpac 1 &amp; 2 (Packer 1 + Packer 2) | Week 36 | Previous Week 35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C26E7C">
    <w:pPr>
      <w:pStyle w:val="19"/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posOffset>5050790</wp:posOffset>
          </wp:positionH>
          <wp:positionV relativeFrom="paragraph">
            <wp:posOffset>-412750</wp:posOffset>
          </wp:positionV>
          <wp:extent cx="1711325" cy="406400"/>
          <wp:effectExtent l="0" t="0" r="3175" b="0"/>
          <wp:wrapThrough wrapText="bothSides">
            <wp:wrapPolygon>
              <wp:start x="0" y="0"/>
              <wp:lineTo x="0" y="20250"/>
              <wp:lineTo x="21400" y="20250"/>
              <wp:lineTo x="21400" y="0"/>
              <wp:lineTo x="0" y="0"/>
            </wp:wrapPolygon>
          </wp:wrapThrough>
          <wp:docPr id="54" name="Picture 54" descr="C:\Users\in981848\Desktop\Airport\Projects\2016\116-060104 Hyderabad Departure Project\02 Quotation\09 Company Introduction\Logo_BEUMERGROUP_Originalfarbe_RG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Picture 54" descr="C:\Users\in981848\Desktop\Airport\Projects\2016\116-060104 Hyderabad Departure Project\02 Quotation\09 Company Introduction\Logo_BEUMERGROUP_Originalfarbe_RGB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735"/>
                  <a:stretch>
                    <a:fillRect/>
                  </a:stretch>
                </pic:blipFill>
                <pic:spPr>
                  <a:xfrm>
                    <a:off x="0" y="0"/>
                    <a:ext cx="1711325" cy="40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ptab w:relativeTo="margin" w:alignment="right" w:leader="none"/>
    </w:r>
    <w: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posOffset>0</wp:posOffset>
          </wp:positionH>
          <wp:positionV relativeFrom="paragraph">
            <wp:posOffset>-412750</wp:posOffset>
          </wp:positionV>
          <wp:extent cx="1208405" cy="406400"/>
          <wp:effectExtent l="0" t="0" r="10795" b="12700"/>
          <wp:wrapThrough wrapText="bothSides">
            <wp:wrapPolygon>
              <wp:start x="0" y="0"/>
              <wp:lineTo x="0" y="20250"/>
              <wp:lineTo x="21112" y="20250"/>
              <wp:lineTo x="21112" y="0"/>
              <wp:lineTo x="0" y="0"/>
            </wp:wrapPolygon>
          </wp:wrapThrough>
          <wp:docPr id="55" name="Picture 55" descr="C:/Users/Administrator/Downloads/262-2629860_one-of-the-top-5-cement-groups-in.png262-2629860_one-of-the-top-5-cement-groups-i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" name="Picture 55" descr="C:/Users/Administrator/Downloads/262-2629860_one-of-the-top-5-cement-groups-in.png262-2629860_one-of-the-top-5-cement-groups-in"/>
                  <pic:cNvPicPr>
                    <a:picLocks noChangeAspect="1"/>
                  </pic:cNvPicPr>
                </pic:nvPicPr>
                <pic:blipFill>
                  <a:blip r:embed="rId2"/>
                  <a:srcRect l="10313" r="10313"/>
                  <a:stretch>
                    <a:fillRect/>
                  </a:stretch>
                </pic:blipFill>
                <pic:spPr>
                  <a:xfrm>
                    <a:off x="0" y="0"/>
                    <a:ext cx="1208398" cy="406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575C7"/>
    <w:rsid w:val="0006063C"/>
    <w:rsid w:val="00064E9C"/>
    <w:rsid w:val="000B58BA"/>
    <w:rsid w:val="00115E66"/>
    <w:rsid w:val="0015074B"/>
    <w:rsid w:val="001E2D16"/>
    <w:rsid w:val="00276070"/>
    <w:rsid w:val="002820A4"/>
    <w:rsid w:val="0029639D"/>
    <w:rsid w:val="00297BD8"/>
    <w:rsid w:val="003039C9"/>
    <w:rsid w:val="00326F90"/>
    <w:rsid w:val="003323EF"/>
    <w:rsid w:val="0039075D"/>
    <w:rsid w:val="003F51B6"/>
    <w:rsid w:val="00412F06"/>
    <w:rsid w:val="004155D0"/>
    <w:rsid w:val="00435CBF"/>
    <w:rsid w:val="00464F0E"/>
    <w:rsid w:val="0048500C"/>
    <w:rsid w:val="004938CF"/>
    <w:rsid w:val="004F5675"/>
    <w:rsid w:val="005D4B46"/>
    <w:rsid w:val="00631107"/>
    <w:rsid w:val="00642925"/>
    <w:rsid w:val="006D28A3"/>
    <w:rsid w:val="00715778"/>
    <w:rsid w:val="00720D4C"/>
    <w:rsid w:val="0079346C"/>
    <w:rsid w:val="007C384B"/>
    <w:rsid w:val="00806272"/>
    <w:rsid w:val="008075BD"/>
    <w:rsid w:val="00861CAE"/>
    <w:rsid w:val="008B6E14"/>
    <w:rsid w:val="008E5B0F"/>
    <w:rsid w:val="008F4930"/>
    <w:rsid w:val="008F5852"/>
    <w:rsid w:val="00923870"/>
    <w:rsid w:val="00945559"/>
    <w:rsid w:val="00950D02"/>
    <w:rsid w:val="00985568"/>
    <w:rsid w:val="009B5235"/>
    <w:rsid w:val="009C2B40"/>
    <w:rsid w:val="00A3353A"/>
    <w:rsid w:val="00A97EC3"/>
    <w:rsid w:val="00AA1D8D"/>
    <w:rsid w:val="00B039BE"/>
    <w:rsid w:val="00B47730"/>
    <w:rsid w:val="00B5755F"/>
    <w:rsid w:val="00B81F24"/>
    <w:rsid w:val="00BB6441"/>
    <w:rsid w:val="00BE084F"/>
    <w:rsid w:val="00C435ED"/>
    <w:rsid w:val="00C77B30"/>
    <w:rsid w:val="00CB0664"/>
    <w:rsid w:val="00D37968"/>
    <w:rsid w:val="00D50306"/>
    <w:rsid w:val="00D77CC9"/>
    <w:rsid w:val="00D962D2"/>
    <w:rsid w:val="00DB6530"/>
    <w:rsid w:val="00DC011A"/>
    <w:rsid w:val="00E87F01"/>
    <w:rsid w:val="00EE2E4D"/>
    <w:rsid w:val="00EE65C7"/>
    <w:rsid w:val="00F23DA5"/>
    <w:rsid w:val="00F32900"/>
    <w:rsid w:val="00F96214"/>
    <w:rsid w:val="00FC693F"/>
    <w:rsid w:val="035C3DFA"/>
    <w:rsid w:val="13BB37EC"/>
    <w:rsid w:val="723A6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sz w:val="18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7365D"/>
      <w:sz w:val="30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95959"/>
      <w:sz w:val="24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1101</Words>
  <Characters>5903</Characters>
  <Lines>48</Lines>
  <Paragraphs>13</Paragraphs>
  <TotalTime>56</TotalTime>
  <ScaleCrop>false</ScaleCrop>
  <LinksUpToDate>false</LinksUpToDate>
  <CharactersWithSpaces>6809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2026-08-12T10:19:00Z</dcterms:created>
  <dc:creator>Singh, Shivam</dc:creator>
  <dc:description>generated by python-docx</dc:description>
  <cp:lastModifiedBy>Administrator</cp:lastModifiedBy>
  <cp:lastPrinted>2026-08-12T09:14:00Z</cp:lastPrinted>
  <dcterms:modified xsi:type="dcterms:W3CDTF">2026-09-17T06:00:00Z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eyJoZGlkIjoiMjQxNjNjNjI2MmE0N2VhNDQ5YzA3ZWYwYjY0MzZmYTkifQ==</vt:lpwstr>
  </property>
  <property fmtid="{D5CDD505-2E9C-101B-9397-08002B2CF9AE}" pid="3" name="KSOProductBuildVer">
    <vt:lpwstr>1033-12.1.0.28485</vt:lpwstr>
  </property>
  <property fmtid="{D5CDD505-2E9C-101B-9397-08002B2CF9AE}" pid="4" name="ICV">
    <vt:lpwstr>98A0721B1687497DA2989F4455A446B7_12</vt:lpwstr>
  </property>
</Properties>
</file>