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256F0" w14:textId="2BD39003" w:rsidR="00D76716" w:rsidRPr="000B694D" w:rsidRDefault="00D76716" w:rsidP="0E88A7E2">
      <w:pPr>
        <w:spacing w:before="240" w:after="240" w:line="480" w:lineRule="auto"/>
        <w:jc w:val="center"/>
        <w:rPr>
          <w:rFonts w:ascii="Times New Roman" w:eastAsia="Times New Roman" w:hAnsi="Times New Roman" w:cs="Times New Roman"/>
          <w:b/>
          <w:bCs/>
          <w:sz w:val="24"/>
          <w:szCs w:val="24"/>
        </w:rPr>
      </w:pPr>
    </w:p>
    <w:p w14:paraId="7BE57ECA" w14:textId="77777777" w:rsidR="00D76716" w:rsidRPr="000B694D" w:rsidRDefault="00D76716" w:rsidP="0E88A7E2">
      <w:pPr>
        <w:spacing w:before="240" w:after="240" w:line="480" w:lineRule="auto"/>
        <w:jc w:val="center"/>
        <w:rPr>
          <w:rFonts w:ascii="Times New Roman" w:eastAsia="Times New Roman" w:hAnsi="Times New Roman" w:cs="Times New Roman"/>
          <w:b/>
          <w:bCs/>
          <w:sz w:val="24"/>
          <w:szCs w:val="24"/>
        </w:rPr>
      </w:pPr>
    </w:p>
    <w:p w14:paraId="1ED91973" w14:textId="7217F06D" w:rsidR="00D76716" w:rsidRPr="000B694D" w:rsidRDefault="00D76716" w:rsidP="0E88A7E2">
      <w:pPr>
        <w:spacing w:before="240" w:after="240" w:line="480" w:lineRule="auto"/>
        <w:jc w:val="center"/>
        <w:rPr>
          <w:rFonts w:ascii="Times New Roman" w:eastAsia="Times New Roman" w:hAnsi="Times New Roman" w:cs="Times New Roman"/>
          <w:b/>
          <w:bCs/>
          <w:sz w:val="24"/>
          <w:szCs w:val="24"/>
        </w:rPr>
      </w:pPr>
    </w:p>
    <w:p w14:paraId="0EE99150" w14:textId="77777777" w:rsidR="00D76716" w:rsidRPr="000B694D" w:rsidRDefault="00D76716" w:rsidP="0E88A7E2">
      <w:pPr>
        <w:spacing w:before="240" w:after="240" w:line="480" w:lineRule="auto"/>
        <w:jc w:val="center"/>
        <w:rPr>
          <w:rFonts w:ascii="Times New Roman" w:eastAsia="Times New Roman" w:hAnsi="Times New Roman" w:cs="Times New Roman"/>
          <w:b/>
          <w:bCs/>
          <w:sz w:val="24"/>
          <w:szCs w:val="24"/>
        </w:rPr>
      </w:pPr>
    </w:p>
    <w:p w14:paraId="6BE823CA" w14:textId="74F7CFD7" w:rsidR="008D309A" w:rsidRDefault="006C66B3" w:rsidP="0E88A7E2">
      <w:pPr>
        <w:spacing w:before="240" w:after="240" w:line="480" w:lineRule="auto"/>
        <w:jc w:val="center"/>
        <w:rPr>
          <w:rFonts w:ascii="Times New Roman" w:eastAsia="Times New Roman" w:hAnsi="Times New Roman" w:cs="Times New Roman"/>
          <w:b/>
          <w:bCs/>
          <w:sz w:val="24"/>
          <w:szCs w:val="24"/>
        </w:rPr>
      </w:pPr>
      <w:r w:rsidRPr="006C66B3">
        <w:rPr>
          <w:rFonts w:ascii="Times New Roman" w:eastAsia="Times New Roman" w:hAnsi="Times New Roman" w:cs="Times New Roman"/>
          <w:b/>
          <w:bCs/>
          <w:sz w:val="24"/>
          <w:szCs w:val="24"/>
        </w:rPr>
        <w:t>From Spreadsheets to Storyboards in Healthcare Analytics</w:t>
      </w:r>
    </w:p>
    <w:p w14:paraId="1F6B4CA0" w14:textId="77777777" w:rsidR="006C66B3" w:rsidRPr="000B694D" w:rsidRDefault="006C66B3" w:rsidP="0E88A7E2">
      <w:pPr>
        <w:spacing w:before="240" w:after="240" w:line="480" w:lineRule="auto"/>
        <w:jc w:val="center"/>
        <w:rPr>
          <w:rFonts w:ascii="Times New Roman" w:eastAsia="Times New Roman" w:hAnsi="Times New Roman" w:cs="Times New Roman"/>
          <w:b/>
          <w:bCs/>
          <w:sz w:val="24"/>
          <w:szCs w:val="24"/>
        </w:rPr>
      </w:pPr>
    </w:p>
    <w:p w14:paraId="3DD60493" w14:textId="77777777" w:rsidR="006C66B3" w:rsidRDefault="006C66B3" w:rsidP="0E88A7E2">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Kaustubh Pachpande</w:t>
      </w:r>
    </w:p>
    <w:p w14:paraId="52CE0672" w14:textId="77777777" w:rsidR="006C66B3" w:rsidRPr="000B694D" w:rsidRDefault="006C66B3" w:rsidP="006C66B3">
      <w:pPr>
        <w:spacing w:before="240" w:after="240" w:line="480" w:lineRule="auto"/>
        <w:jc w:val="center"/>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Sharad Raina</w:t>
      </w:r>
    </w:p>
    <w:p w14:paraId="77426BD9" w14:textId="77777777" w:rsidR="006C66B3" w:rsidRDefault="006C66B3" w:rsidP="0E88A7E2">
      <w:pPr>
        <w:spacing w:before="240" w:after="240" w:line="480" w:lineRule="auto"/>
        <w:jc w:val="center"/>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Aashay Rana</w:t>
      </w:r>
    </w:p>
    <w:p w14:paraId="5A54A642" w14:textId="77777777" w:rsidR="006C66B3" w:rsidRDefault="006C66B3" w:rsidP="006C66B3">
      <w:pPr>
        <w:spacing w:before="240" w:after="240" w:line="480" w:lineRule="auto"/>
        <w:jc w:val="center"/>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Pooja Shah</w:t>
      </w:r>
    </w:p>
    <w:p w14:paraId="6FFD3D04" w14:textId="4424FEED" w:rsidR="00C85EAF" w:rsidRPr="000B694D" w:rsidRDefault="1D46AB52" w:rsidP="006C66B3">
      <w:pPr>
        <w:spacing w:before="240" w:after="240" w:line="480" w:lineRule="auto"/>
        <w:jc w:val="center"/>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Northeastern University</w:t>
      </w:r>
    </w:p>
    <w:p w14:paraId="29BDF467" w14:textId="3C7E4BF4" w:rsidR="00D76716" w:rsidRPr="000B694D" w:rsidRDefault="09F39F26" w:rsidP="0E88A7E2">
      <w:pPr>
        <w:spacing w:before="240" w:after="240" w:line="480" w:lineRule="auto"/>
        <w:jc w:val="center"/>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HINF 7701: MS Health Informatics Capstone Project</w:t>
      </w:r>
    </w:p>
    <w:p w14:paraId="76C25D1C" w14:textId="0DFB1F8D" w:rsidR="0E88A7E2" w:rsidRPr="000B694D" w:rsidRDefault="0E88A7E2" w:rsidP="0E88A7E2">
      <w:pPr>
        <w:spacing w:before="240" w:after="240" w:line="480" w:lineRule="auto"/>
        <w:jc w:val="center"/>
        <w:rPr>
          <w:rFonts w:ascii="Times New Roman" w:eastAsia="Times New Roman" w:hAnsi="Times New Roman" w:cs="Times New Roman"/>
          <w:b/>
          <w:bCs/>
          <w:sz w:val="24"/>
          <w:szCs w:val="24"/>
          <w:lang w:val="en-US"/>
        </w:rPr>
      </w:pPr>
    </w:p>
    <w:p w14:paraId="3B123AB1" w14:textId="77777777" w:rsidR="000B694D" w:rsidRPr="000B694D" w:rsidRDefault="000B694D" w:rsidP="0E88A7E2">
      <w:pPr>
        <w:spacing w:before="240" w:after="240" w:line="480" w:lineRule="auto"/>
        <w:jc w:val="center"/>
        <w:rPr>
          <w:rFonts w:ascii="Times New Roman" w:eastAsia="Times New Roman" w:hAnsi="Times New Roman" w:cs="Times New Roman"/>
          <w:b/>
          <w:bCs/>
          <w:sz w:val="24"/>
          <w:szCs w:val="24"/>
          <w:lang w:val="en-US"/>
        </w:rPr>
      </w:pPr>
    </w:p>
    <w:p w14:paraId="6CA7C1E9" w14:textId="77777777" w:rsidR="000B694D" w:rsidRPr="000B694D" w:rsidRDefault="000B694D" w:rsidP="0E88A7E2">
      <w:pPr>
        <w:spacing w:before="240" w:after="240" w:line="480" w:lineRule="auto"/>
        <w:jc w:val="center"/>
        <w:rPr>
          <w:rFonts w:ascii="Times New Roman" w:eastAsia="Times New Roman" w:hAnsi="Times New Roman" w:cs="Times New Roman"/>
          <w:b/>
          <w:bCs/>
          <w:sz w:val="24"/>
          <w:szCs w:val="24"/>
          <w:lang w:val="en-US"/>
        </w:rPr>
      </w:pPr>
    </w:p>
    <w:p w14:paraId="4042C47B" w14:textId="77777777" w:rsidR="000B694D" w:rsidRPr="000B694D" w:rsidRDefault="000B694D" w:rsidP="0E88A7E2">
      <w:pPr>
        <w:spacing w:before="240" w:after="240" w:line="480" w:lineRule="auto"/>
        <w:jc w:val="center"/>
        <w:rPr>
          <w:rFonts w:ascii="Times New Roman" w:eastAsia="Times New Roman" w:hAnsi="Times New Roman" w:cs="Times New Roman"/>
          <w:b/>
          <w:bCs/>
          <w:sz w:val="24"/>
          <w:szCs w:val="24"/>
          <w:lang w:val="en-US"/>
        </w:rPr>
      </w:pPr>
    </w:p>
    <w:p w14:paraId="055F4F9B" w14:textId="52A0DD16" w:rsidR="008B08D6" w:rsidRPr="000B694D" w:rsidRDefault="1D46AB52" w:rsidP="0E88A7E2">
      <w:pPr>
        <w:spacing w:before="240" w:after="240" w:line="480" w:lineRule="auto"/>
        <w:jc w:val="center"/>
        <w:rPr>
          <w:rFonts w:ascii="Times New Roman" w:eastAsia="Times New Roman" w:hAnsi="Times New Roman" w:cs="Times New Roman"/>
          <w:sz w:val="24"/>
          <w:szCs w:val="24"/>
          <w:lang w:val="en-US"/>
        </w:rPr>
      </w:pPr>
      <w:proofErr w:type="spellStart"/>
      <w:r w:rsidRPr="000B694D">
        <w:rPr>
          <w:rFonts w:ascii="Times New Roman" w:eastAsia="Times New Roman" w:hAnsi="Times New Roman" w:cs="Times New Roman"/>
          <w:b/>
          <w:bCs/>
          <w:sz w:val="24"/>
          <w:szCs w:val="24"/>
          <w:lang w:val="en-US"/>
        </w:rPr>
        <w:lastRenderedPageBreak/>
        <w:t>A</w:t>
      </w:r>
      <w:r w:rsidR="1677255F" w:rsidRPr="000B694D">
        <w:rPr>
          <w:rFonts w:ascii="Times New Roman" w:eastAsia="Times New Roman" w:hAnsi="Times New Roman" w:cs="Times New Roman"/>
          <w:b/>
          <w:bCs/>
          <w:sz w:val="24"/>
          <w:szCs w:val="24"/>
          <w:lang w:val="en-US"/>
        </w:rPr>
        <w:t>bstrac</w:t>
      </w:r>
      <w:proofErr w:type="spellEnd"/>
      <w:r w:rsidR="1677255F" w:rsidRPr="000B694D">
        <w:rPr>
          <w:rFonts w:ascii="Times New Roman" w:eastAsia="Times New Roman" w:hAnsi="Times New Roman" w:cs="Times New Roman"/>
          <w:b/>
          <w:bCs/>
          <w:sz w:val="24"/>
          <w:szCs w:val="24"/>
        </w:rPr>
        <w:t>t</w:t>
      </w:r>
    </w:p>
    <w:p w14:paraId="08D026B5" w14:textId="2C41091A" w:rsidR="3BC973AA" w:rsidRPr="000B694D" w:rsidRDefault="3BC973AA"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The digitization of healthcare has led to an explosion of complex clinical and operational data, creating a growing need for tools that enable efficient interpretation and action. Data visualization has emerged as a powerful solution, transforming raw datasets into intuitive visuals that support better decision-making, improved patient care, and enhanced system performance. This literature review explores how visual analytics are applied across key healthcare stakeholders—including providers, administrators, patients, public health officials, and data teams—to address challenges in clinical decision-making, hospital operations, and patient safety monitoring.</w:t>
      </w:r>
    </w:p>
    <w:p w14:paraId="5D900B16" w14:textId="706519A1" w:rsidR="3BC973AA" w:rsidRPr="000B694D" w:rsidRDefault="3BC973AA"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For clinicians, dashboards integrated into electronic health records (EHRs) allow real-time tracking of vitals, predictive modeling for risk, and early identification of complications. Administrators leverage visualization to monitor staffing, resource use, and patient flow, particularly to address overcrowding and improve financial performance. Patients benefit from personalized charts and treatment timelines that improve understanding and engagement in care. At the public health level, visual tools track disease outbreaks and highlight care disparities, supporting equity-focused policy decisions.</w:t>
      </w:r>
    </w:p>
    <w:p w14:paraId="334F70FA" w14:textId="2464BD8A" w:rsidR="3BC973AA" w:rsidRPr="000B694D" w:rsidRDefault="3BC973AA"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The paper also examines the role of visualization in tracking Patient Safety Indicator 90 (PSI 90) scores and the impact of nurse staffing, education levels, and hospital teaching status. By integrating safety metrics with operational and legal data, visualizations reveal patterns often missed in traditional reporting, offering a clearer path to informed, equitable, and safer healthcare delivery.</w:t>
      </w:r>
    </w:p>
    <w:p w14:paraId="011716E6" w14:textId="77777777" w:rsidR="000B694D" w:rsidRDefault="000B694D" w:rsidP="0E88A7E2">
      <w:pPr>
        <w:spacing w:before="240" w:after="240" w:line="480" w:lineRule="auto"/>
        <w:jc w:val="center"/>
        <w:rPr>
          <w:rFonts w:ascii="Times New Roman" w:eastAsia="Times New Roman" w:hAnsi="Times New Roman" w:cs="Times New Roman"/>
          <w:b/>
          <w:bCs/>
          <w:sz w:val="24"/>
          <w:szCs w:val="24"/>
        </w:rPr>
      </w:pPr>
    </w:p>
    <w:p w14:paraId="56BC9A74" w14:textId="4B3666EB" w:rsidR="00C85EAF" w:rsidRPr="000B694D" w:rsidRDefault="1D46AB52" w:rsidP="0E88A7E2">
      <w:pPr>
        <w:spacing w:before="240" w:after="240" w:line="480" w:lineRule="auto"/>
        <w:jc w:val="center"/>
        <w:rPr>
          <w:rFonts w:ascii="Times New Roman" w:eastAsia="Times New Roman" w:hAnsi="Times New Roman" w:cs="Times New Roman"/>
          <w:b/>
          <w:bCs/>
          <w:sz w:val="24"/>
          <w:szCs w:val="24"/>
        </w:rPr>
      </w:pPr>
      <w:r w:rsidRPr="000B694D">
        <w:rPr>
          <w:rFonts w:ascii="Times New Roman" w:eastAsia="Times New Roman" w:hAnsi="Times New Roman" w:cs="Times New Roman"/>
          <w:b/>
          <w:bCs/>
          <w:sz w:val="24"/>
          <w:szCs w:val="24"/>
        </w:rPr>
        <w:lastRenderedPageBreak/>
        <w:t>I</w:t>
      </w:r>
      <w:r w:rsidR="49FF4AD3" w:rsidRPr="000B694D">
        <w:rPr>
          <w:rFonts w:ascii="Times New Roman" w:eastAsia="Times New Roman" w:hAnsi="Times New Roman" w:cs="Times New Roman"/>
          <w:b/>
          <w:bCs/>
          <w:sz w:val="24"/>
          <w:szCs w:val="24"/>
        </w:rPr>
        <w:t>ntroduction</w:t>
      </w:r>
    </w:p>
    <w:p w14:paraId="622D64BB" w14:textId="1894547E" w:rsidR="00C85EAF" w:rsidRPr="000B694D" w:rsidRDefault="1D46AB52"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The rapid adoption of health information technology (Health IT) has transformed healthcare systems worldwide</w:t>
      </w:r>
      <w:r w:rsidR="63CE4426" w:rsidRPr="000B694D">
        <w:rPr>
          <w:rFonts w:ascii="Times New Roman" w:eastAsia="Times New Roman" w:hAnsi="Times New Roman" w:cs="Times New Roman"/>
          <w:sz w:val="24"/>
          <w:szCs w:val="24"/>
          <w:lang w:val="en-US"/>
        </w:rPr>
        <w:t xml:space="preserve"> </w:t>
      </w:r>
      <w:r w:rsidRPr="000B694D">
        <w:rPr>
          <w:rFonts w:ascii="Times New Roman" w:eastAsia="Times New Roman" w:hAnsi="Times New Roman" w:cs="Times New Roman"/>
          <w:sz w:val="24"/>
          <w:szCs w:val="24"/>
          <w:lang w:val="en-US"/>
        </w:rPr>
        <w:t xml:space="preserve">with a significant push from policies such as the Health Information Technology for Economic and Clinical Health (HITECH) Act in the United States. This digitization has led to the widespread implementation of electronic health records (EHRs), enabling the accumulation of vast amounts of longitudinal patient data. </w:t>
      </w:r>
    </w:p>
    <w:p w14:paraId="5EACD571" w14:textId="105F990F" w:rsidR="00C85EAF" w:rsidRPr="000B694D" w:rsidRDefault="1D46AB52"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Data visualization in healthcare refers to the graphical representation of medical and administrative data through charts, graphs, dashboards, and heat maps to facilitate interpretation and decision-making (</w:t>
      </w:r>
      <w:proofErr w:type="spellStart"/>
      <w:r w:rsidRPr="000B694D">
        <w:rPr>
          <w:rFonts w:ascii="Times New Roman" w:eastAsia="Times New Roman" w:hAnsi="Times New Roman" w:cs="Times New Roman"/>
          <w:sz w:val="24"/>
          <w:szCs w:val="24"/>
          <w:lang w:val="en-US"/>
        </w:rPr>
        <w:t>Abudiyab</w:t>
      </w:r>
      <w:proofErr w:type="spellEnd"/>
      <w:r w:rsidRPr="000B694D">
        <w:rPr>
          <w:rFonts w:ascii="Times New Roman" w:eastAsia="Times New Roman" w:hAnsi="Times New Roman" w:cs="Times New Roman"/>
          <w:sz w:val="24"/>
          <w:szCs w:val="24"/>
          <w:lang w:val="en-US"/>
        </w:rPr>
        <w:t xml:space="preserve"> &amp; Alanazi, 2022). The growing importance of big data analytics and machine learning in healthcare further amplifies the need for interactive and intuitive visual analytics, ensuring that key stakeholders—from physicians to policymakers—can interpret complex information efficiently </w:t>
      </w:r>
      <w:r w:rsidRPr="000B694D">
        <w:rPr>
          <w:rFonts w:ascii="Times New Roman" w:eastAsia="Times New Roman" w:hAnsi="Times New Roman" w:cs="Times New Roman"/>
          <w:sz w:val="24"/>
          <w:szCs w:val="24"/>
          <w:highlight w:val="white"/>
          <w:lang w:val="en-US"/>
        </w:rPr>
        <w:t>(Gotz &amp; Borland, 2016)</w:t>
      </w:r>
      <w:r w:rsidRPr="000B694D">
        <w:rPr>
          <w:rFonts w:ascii="Times New Roman" w:eastAsia="Times New Roman" w:hAnsi="Times New Roman" w:cs="Times New Roman"/>
          <w:sz w:val="24"/>
          <w:szCs w:val="24"/>
          <w:lang w:val="en-US"/>
        </w:rPr>
        <w:t>. Dashboards displaying patient vitals, interactive maps tracking disease outbreaks, and predictive analytics models for risk stratification are some of the key applications</w:t>
      </w:r>
      <w:r w:rsidR="25B48A1E" w:rsidRPr="000B694D">
        <w:rPr>
          <w:rFonts w:ascii="Times New Roman" w:eastAsia="Times New Roman" w:hAnsi="Times New Roman" w:cs="Times New Roman"/>
          <w:sz w:val="24"/>
          <w:szCs w:val="24"/>
          <w:lang w:val="en-US"/>
        </w:rPr>
        <w:t xml:space="preserve"> within healthcare</w:t>
      </w:r>
      <w:r w:rsidRPr="000B694D">
        <w:rPr>
          <w:rFonts w:ascii="Times New Roman" w:eastAsia="Times New Roman" w:hAnsi="Times New Roman" w:cs="Times New Roman"/>
          <w:sz w:val="24"/>
          <w:szCs w:val="24"/>
          <w:lang w:val="en-US"/>
        </w:rPr>
        <w:t xml:space="preserve"> (Raghupathi &amp; Raghupathi, 2014).</w:t>
      </w:r>
    </w:p>
    <w:p w14:paraId="2CD807AF" w14:textId="77777777" w:rsidR="006D63AA" w:rsidRPr="000B694D" w:rsidRDefault="1D46AB52" w:rsidP="007E5459">
      <w:pPr>
        <w:spacing w:before="240" w:line="480" w:lineRule="auto"/>
        <w:ind w:firstLine="720"/>
        <w:rPr>
          <w:rFonts w:ascii="Times New Roman" w:eastAsia="Times New Roman" w:hAnsi="Times New Roman" w:cs="Times New Roman"/>
          <w:color w:val="2C3E50"/>
          <w:sz w:val="24"/>
          <w:szCs w:val="24"/>
          <w:highlight w:val="white"/>
          <w:lang w:val="en-US"/>
        </w:rPr>
      </w:pPr>
      <w:r w:rsidRPr="000B694D">
        <w:rPr>
          <w:rFonts w:ascii="Times New Roman" w:eastAsia="Times New Roman" w:hAnsi="Times New Roman" w:cs="Times New Roman"/>
          <w:sz w:val="24"/>
          <w:szCs w:val="24"/>
          <w:lang w:val="en-US"/>
        </w:rPr>
        <w:t>Traditionally, healthcare professionals relied on text-based reports and numerical spreadsheets, making it difficult to quickly grasp patterns in patient data. However, research indicates that humans process visual information 60,000 times faster than text, making visualization a more effective approach for analyzing large datasets</w:t>
      </w:r>
      <w:r w:rsidR="02E48FB9" w:rsidRPr="000B694D">
        <w:rPr>
          <w:rFonts w:ascii="Times New Roman" w:eastAsia="Times New Roman" w:hAnsi="Times New Roman" w:cs="Times New Roman"/>
          <w:sz w:val="24"/>
          <w:szCs w:val="24"/>
          <w:lang w:val="en-US"/>
        </w:rPr>
        <w:t xml:space="preserve">. </w:t>
      </w:r>
      <w:r w:rsidRPr="000B694D">
        <w:rPr>
          <w:rFonts w:ascii="Times New Roman" w:eastAsia="Times New Roman" w:hAnsi="Times New Roman" w:cs="Times New Roman"/>
          <w:sz w:val="24"/>
          <w:szCs w:val="24"/>
          <w:lang w:val="en-US"/>
        </w:rPr>
        <w:t>By enabling a more intuitive understanding of data, visualization has improved healthcare workflows, reduced errors, and enhanced patient outcomes</w:t>
      </w:r>
      <w:r w:rsidR="02E48FB9" w:rsidRPr="000B694D">
        <w:rPr>
          <w:rFonts w:ascii="Times New Roman" w:eastAsia="Times New Roman" w:hAnsi="Times New Roman" w:cs="Times New Roman"/>
          <w:sz w:val="24"/>
          <w:szCs w:val="24"/>
          <w:lang w:val="en-US"/>
        </w:rPr>
        <w:t xml:space="preserve"> </w:t>
      </w:r>
      <w:r w:rsidR="02E48FB9" w:rsidRPr="000B694D">
        <w:rPr>
          <w:rFonts w:ascii="Times New Roman" w:eastAsia="Times New Roman" w:hAnsi="Times New Roman" w:cs="Times New Roman"/>
          <w:sz w:val="24"/>
          <w:szCs w:val="24"/>
          <w:highlight w:val="white"/>
          <w:lang w:val="en-US"/>
        </w:rPr>
        <w:t>(Gotz &amp; Borland, 2016)</w:t>
      </w:r>
      <w:r w:rsidR="02E48FB9" w:rsidRPr="000B694D">
        <w:rPr>
          <w:rFonts w:ascii="Times New Roman" w:eastAsia="Times New Roman" w:hAnsi="Times New Roman" w:cs="Times New Roman"/>
          <w:color w:val="2C3E50"/>
          <w:sz w:val="24"/>
          <w:szCs w:val="24"/>
          <w:highlight w:val="white"/>
          <w:lang w:val="en-US"/>
        </w:rPr>
        <w:t>.</w:t>
      </w:r>
    </w:p>
    <w:p w14:paraId="39BA40F0" w14:textId="4622983F" w:rsidR="1D46AB52" w:rsidRPr="000B694D" w:rsidRDefault="1D46AB52" w:rsidP="007E5459">
      <w:pPr>
        <w:spacing w:before="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lastRenderedPageBreak/>
        <w:t xml:space="preserve">Recognizing this, organizations such as the American Medical Informatics Association (AMIA) have established initiatives to advance visual analytics in healthcare, reinforcing its role in improving patient safety, operational efficiency, and overall health outcomes. </w:t>
      </w:r>
    </w:p>
    <w:p w14:paraId="7621EDD1" w14:textId="45F28220" w:rsidR="0E2D71E8" w:rsidRPr="000B694D" w:rsidRDefault="0E2D71E8" w:rsidP="007E5459">
      <w:pPr>
        <w:spacing w:before="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Data visualization empowers clinicians to deliver safer, faster, and more informed care. Real-time dashboards within EHR systems help providers monitor vital signs, track abnormal lab results, and adjust treatment plans </w:t>
      </w:r>
      <w:r w:rsidR="3F181EE0" w:rsidRPr="000B694D">
        <w:rPr>
          <w:rFonts w:ascii="Times New Roman" w:eastAsia="Times New Roman" w:hAnsi="Times New Roman" w:cs="Times New Roman"/>
          <w:sz w:val="24"/>
          <w:szCs w:val="24"/>
          <w:lang w:val="en-US"/>
        </w:rPr>
        <w:t>efficiently reducing</w:t>
      </w:r>
      <w:r w:rsidRPr="000B694D">
        <w:rPr>
          <w:rFonts w:ascii="Times New Roman" w:eastAsia="Times New Roman" w:hAnsi="Times New Roman" w:cs="Times New Roman"/>
          <w:sz w:val="24"/>
          <w:szCs w:val="24"/>
          <w:lang w:val="en-US"/>
        </w:rPr>
        <w:t xml:space="preserve"> the risk of drug intolerance and improving outcomes, especially for high-risk patients. Integrated with wearable devices and health apps, visualization tools also support early detection of complications in chronic conditions by revealing subtle trends and enabling predictive modeling. Additionally, visual formats like color-coded medication charts and heat maps make it easier to identify diagnostic or prescription errors, enhancing clinical accuracy and supporting timely interventions for issues such as sepsis or patient falls.</w:t>
      </w:r>
    </w:p>
    <w:p w14:paraId="593D1023" w14:textId="027484EE" w:rsidR="06D15848" w:rsidRPr="000B694D" w:rsidRDefault="06D15848" w:rsidP="0E88A7E2">
      <w:pPr>
        <w:spacing w:before="240" w:line="480" w:lineRule="auto"/>
        <w:jc w:val="center"/>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t>Data Visualization Across Healthcare Stakeholders</w:t>
      </w:r>
    </w:p>
    <w:p w14:paraId="357E128F" w14:textId="7CB226C1" w:rsidR="0E2D71E8" w:rsidRPr="000B694D" w:rsidRDefault="0E2D71E8" w:rsidP="0E88A7E2">
      <w:pPr>
        <w:spacing w:before="240" w:line="480" w:lineRule="auto"/>
        <w:jc w:val="both"/>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t>For Hospital Administrators and Operational Teams</w:t>
      </w:r>
    </w:p>
    <w:p w14:paraId="4693A597" w14:textId="04C1E9A5" w:rsidR="0E2D71E8" w:rsidRPr="000B694D" w:rsidRDefault="0E2D71E8" w:rsidP="007E5459">
      <w:pPr>
        <w:spacing w:before="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Visualization tools help administrators streamline hospital operations, monitor performance, and reduce inefficiencies. Dashboards enable real-time tracking of key metrics like emergency department wait times, bed occupancy, and discharge delays, making it easier to allocate staff and anticipate patient surges. These insights are especially valuable in value-based care environments, where financial incentives are tied to patient satisfaction and quality measures. Additionally, visualizations can flag billing anomalies and unusual claim patterns, </w:t>
      </w:r>
      <w:r w:rsidR="46880CB3" w:rsidRPr="000B694D">
        <w:rPr>
          <w:rFonts w:ascii="Times New Roman" w:eastAsia="Times New Roman" w:hAnsi="Times New Roman" w:cs="Times New Roman"/>
          <w:sz w:val="24"/>
          <w:szCs w:val="24"/>
          <w:lang w:val="en-US"/>
        </w:rPr>
        <w:t>support</w:t>
      </w:r>
      <w:r w:rsidRPr="000B694D">
        <w:rPr>
          <w:rFonts w:ascii="Times New Roman" w:eastAsia="Times New Roman" w:hAnsi="Times New Roman" w:cs="Times New Roman"/>
          <w:sz w:val="24"/>
          <w:szCs w:val="24"/>
          <w:lang w:val="en-US"/>
        </w:rPr>
        <w:t xml:space="preserve"> early fraud detection and </w:t>
      </w:r>
      <w:r w:rsidR="1073C6FE" w:rsidRPr="000B694D">
        <w:rPr>
          <w:rFonts w:ascii="Times New Roman" w:eastAsia="Times New Roman" w:hAnsi="Times New Roman" w:cs="Times New Roman"/>
          <w:sz w:val="24"/>
          <w:szCs w:val="24"/>
          <w:lang w:val="en-US"/>
        </w:rPr>
        <w:t>enhance</w:t>
      </w:r>
      <w:r w:rsidRPr="000B694D">
        <w:rPr>
          <w:rFonts w:ascii="Times New Roman" w:eastAsia="Times New Roman" w:hAnsi="Times New Roman" w:cs="Times New Roman"/>
          <w:sz w:val="24"/>
          <w:szCs w:val="24"/>
          <w:lang w:val="en-US"/>
        </w:rPr>
        <w:t xml:space="preserve"> overall accountability across financial and operational workflows</w:t>
      </w:r>
      <w:r w:rsidR="33FC20AE" w:rsidRPr="000B694D">
        <w:rPr>
          <w:rFonts w:ascii="Times New Roman" w:eastAsia="Times New Roman" w:hAnsi="Times New Roman" w:cs="Times New Roman"/>
          <w:sz w:val="24"/>
          <w:szCs w:val="24"/>
          <w:lang w:val="en-US"/>
        </w:rPr>
        <w:t xml:space="preserve"> (</w:t>
      </w:r>
      <w:proofErr w:type="spellStart"/>
      <w:r w:rsidR="33FC20AE" w:rsidRPr="000B694D">
        <w:rPr>
          <w:rFonts w:ascii="Times New Roman" w:eastAsia="Times New Roman" w:hAnsi="Times New Roman" w:cs="Times New Roman"/>
          <w:sz w:val="24"/>
          <w:szCs w:val="24"/>
          <w:lang w:val="en-US"/>
        </w:rPr>
        <w:t>Ghazisaeidi</w:t>
      </w:r>
      <w:proofErr w:type="spellEnd"/>
      <w:r w:rsidR="33FC20AE" w:rsidRPr="000B694D">
        <w:rPr>
          <w:rFonts w:ascii="Times New Roman" w:eastAsia="Times New Roman" w:hAnsi="Times New Roman" w:cs="Times New Roman"/>
          <w:sz w:val="24"/>
          <w:szCs w:val="24"/>
          <w:lang w:val="en-US"/>
        </w:rPr>
        <w:t xml:space="preserve"> et al., 2015).</w:t>
      </w:r>
    </w:p>
    <w:p w14:paraId="0C7EE777" w14:textId="347A33C1" w:rsidR="0E2D71E8" w:rsidRPr="000B694D" w:rsidRDefault="0E2D71E8" w:rsidP="0E88A7E2">
      <w:pPr>
        <w:spacing w:before="240" w:line="480" w:lineRule="auto"/>
        <w:jc w:val="both"/>
        <w:rPr>
          <w:rFonts w:ascii="Times New Roman" w:eastAsia="Times New Roman" w:hAnsi="Times New Roman" w:cs="Times New Roman"/>
          <w:sz w:val="24"/>
          <w:szCs w:val="24"/>
          <w:lang w:val="en-US"/>
        </w:rPr>
      </w:pPr>
      <w:r w:rsidRPr="000B694D">
        <w:rPr>
          <w:rFonts w:ascii="Times New Roman" w:eastAsia="Times New Roman" w:hAnsi="Times New Roman" w:cs="Times New Roman"/>
          <w:b/>
          <w:bCs/>
          <w:sz w:val="24"/>
          <w:szCs w:val="24"/>
          <w:lang w:val="en-US"/>
        </w:rPr>
        <w:lastRenderedPageBreak/>
        <w:t>For Patients</w:t>
      </w:r>
    </w:p>
    <w:p w14:paraId="3CECE4B0" w14:textId="5BF42044" w:rsidR="0E2D71E8" w:rsidRPr="000B694D" w:rsidRDefault="0E2D71E8" w:rsidP="007E5459">
      <w:pPr>
        <w:spacing w:before="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Data visualization gives patients a clearer understanding of their health and empowers them to take a more active role in their care. Personalized charts and dashboards help individuals monitor their vital signs, follow treatment progress, and stay on top of upcoming appointments. Visual aids—such as Gantt charts for treatment plans or side-by-side comparisons of lab results—make complex medical information easier to understand, improving adherence and engagement</w:t>
      </w:r>
      <w:r w:rsidR="71CCF795" w:rsidRPr="000B694D">
        <w:rPr>
          <w:rFonts w:ascii="Times New Roman" w:eastAsia="Times New Roman" w:hAnsi="Times New Roman" w:cs="Times New Roman"/>
          <w:sz w:val="24"/>
          <w:szCs w:val="24"/>
          <w:lang w:val="en-US"/>
        </w:rPr>
        <w:t xml:space="preserve"> (West, Borland, &amp; Hammond, 2014)</w:t>
      </w:r>
      <w:r w:rsidRPr="000B694D">
        <w:rPr>
          <w:rFonts w:ascii="Times New Roman" w:eastAsia="Times New Roman" w:hAnsi="Times New Roman" w:cs="Times New Roman"/>
          <w:sz w:val="24"/>
          <w:szCs w:val="24"/>
          <w:lang w:val="en-US"/>
        </w:rPr>
        <w:t>. Furthermore, by visualizing wait times or expected outcomes, patients experience less uncertainty, greater satisfaction, and a stronger sense of control over their health journey</w:t>
      </w:r>
      <w:r w:rsidR="0D1AFC88" w:rsidRPr="000B694D">
        <w:rPr>
          <w:rFonts w:ascii="Times New Roman" w:eastAsia="Times New Roman" w:hAnsi="Times New Roman" w:cs="Times New Roman"/>
          <w:sz w:val="24"/>
          <w:szCs w:val="24"/>
          <w:lang w:val="en-US"/>
        </w:rPr>
        <w:t xml:space="preserve"> (Roski, Bo‐Linn, &amp; Andrews, 2014)</w:t>
      </w:r>
      <w:r w:rsidR="54A2E59C" w:rsidRPr="000B694D">
        <w:rPr>
          <w:rFonts w:ascii="Times New Roman" w:eastAsia="Times New Roman" w:hAnsi="Times New Roman" w:cs="Times New Roman"/>
          <w:sz w:val="24"/>
          <w:szCs w:val="24"/>
          <w:lang w:val="en-US"/>
        </w:rPr>
        <w:t>.</w:t>
      </w:r>
    </w:p>
    <w:p w14:paraId="0C8F0CB0" w14:textId="655F9BD4" w:rsidR="0E2D71E8" w:rsidRPr="000B694D" w:rsidRDefault="0E2D71E8" w:rsidP="0E88A7E2">
      <w:pPr>
        <w:spacing w:before="240" w:line="480" w:lineRule="auto"/>
        <w:jc w:val="both"/>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t>For Public Health Agencies and Policymakers</w:t>
      </w:r>
      <w:r w:rsidR="37914BD5" w:rsidRPr="000B694D">
        <w:rPr>
          <w:rFonts w:ascii="Times New Roman" w:eastAsia="Times New Roman" w:hAnsi="Times New Roman" w:cs="Times New Roman"/>
          <w:b/>
          <w:bCs/>
          <w:sz w:val="24"/>
          <w:szCs w:val="24"/>
          <w:lang w:val="en-US"/>
        </w:rPr>
        <w:t xml:space="preserve"> </w:t>
      </w:r>
    </w:p>
    <w:p w14:paraId="6B8B3AFC" w14:textId="39B297F6" w:rsidR="0E88A7E2" w:rsidRPr="000B694D" w:rsidRDefault="0E2D71E8" w:rsidP="007E5459">
      <w:pPr>
        <w:spacing w:before="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Public health leaders rely on data visualizations to track disease outbreaks, assess health system capacity, and address disparities in care. Geospatial maps and trend charts offer real-time views of case counts, vaccination rates, and ICU availability, informing swift action during health crises</w:t>
      </w:r>
      <w:r w:rsidR="1148016F" w:rsidRPr="000B694D">
        <w:rPr>
          <w:rFonts w:ascii="Times New Roman" w:eastAsia="Times New Roman" w:hAnsi="Times New Roman" w:cs="Times New Roman"/>
          <w:sz w:val="24"/>
          <w:szCs w:val="24"/>
          <w:lang w:val="en-US"/>
        </w:rPr>
        <w:t xml:space="preserve"> (Carroll et al., 2014)</w:t>
      </w:r>
      <w:r w:rsidRPr="000B694D">
        <w:rPr>
          <w:rFonts w:ascii="Times New Roman" w:eastAsia="Times New Roman" w:hAnsi="Times New Roman" w:cs="Times New Roman"/>
          <w:sz w:val="24"/>
          <w:szCs w:val="24"/>
          <w:lang w:val="en-US"/>
        </w:rPr>
        <w:t>. Visualization also reveals gaps in outcomes across racial, geographic, or economic lines, helping direct resources to underserved populations. By analyzing historical trends alongside predictive models, policymakers can make data-driven decisions about future health interventions, infrastructure needs, and emergency preparedness</w:t>
      </w:r>
      <w:r w:rsidR="2409F200" w:rsidRPr="000B694D">
        <w:rPr>
          <w:rFonts w:ascii="Times New Roman" w:eastAsia="Times New Roman" w:hAnsi="Times New Roman" w:cs="Times New Roman"/>
          <w:sz w:val="24"/>
          <w:szCs w:val="24"/>
          <w:lang w:val="en-US"/>
        </w:rPr>
        <w:t xml:space="preserve"> (Aragón et al., 2021)</w:t>
      </w:r>
      <w:r w:rsidR="6A4AE91D" w:rsidRPr="000B694D">
        <w:rPr>
          <w:rFonts w:ascii="Times New Roman" w:eastAsia="Times New Roman" w:hAnsi="Times New Roman" w:cs="Times New Roman"/>
          <w:sz w:val="24"/>
          <w:szCs w:val="24"/>
          <w:lang w:val="en-US"/>
        </w:rPr>
        <w:t>.</w:t>
      </w:r>
    </w:p>
    <w:p w14:paraId="736D3566" w14:textId="0FBCBBB7" w:rsidR="0E2D71E8" w:rsidRPr="000B694D" w:rsidRDefault="0E2D71E8" w:rsidP="0E88A7E2">
      <w:pPr>
        <w:spacing w:before="240" w:line="480" w:lineRule="auto"/>
        <w:jc w:val="both"/>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t>For Health Technology and Data Teams</w:t>
      </w:r>
    </w:p>
    <w:p w14:paraId="2E19BB93" w14:textId="213A5E16" w:rsidR="0E2D71E8" w:rsidRPr="000B694D" w:rsidRDefault="0E2D71E8" w:rsidP="007E5459">
      <w:pPr>
        <w:spacing w:before="240" w:line="480" w:lineRule="auto"/>
        <w:ind w:firstLine="720"/>
        <w:rPr>
          <w:rFonts w:ascii="Times New Roman" w:eastAsia="Times New Roman" w:hAnsi="Times New Roman" w:cs="Times New Roman"/>
          <w:color w:val="000000" w:themeColor="text1"/>
          <w:sz w:val="24"/>
          <w:szCs w:val="24"/>
          <w:highlight w:val="white"/>
          <w:lang w:val="en-US"/>
        </w:rPr>
      </w:pPr>
      <w:r w:rsidRPr="000B694D">
        <w:rPr>
          <w:rFonts w:ascii="Times New Roman" w:eastAsia="Times New Roman" w:hAnsi="Times New Roman" w:cs="Times New Roman"/>
          <w:sz w:val="24"/>
          <w:szCs w:val="24"/>
          <w:lang w:val="en-US"/>
        </w:rPr>
        <w:t xml:space="preserve">For technical teams managing healthcare data, visualization is essential to translate raw information into clear, usable insights. These teams build and maintain dashboards that integrate </w:t>
      </w:r>
      <w:r w:rsidRPr="000B694D">
        <w:rPr>
          <w:rFonts w:ascii="Times New Roman" w:eastAsia="Times New Roman" w:hAnsi="Times New Roman" w:cs="Times New Roman"/>
          <w:sz w:val="24"/>
          <w:szCs w:val="24"/>
          <w:lang w:val="en-US"/>
        </w:rPr>
        <w:lastRenderedPageBreak/>
        <w:t xml:space="preserve">data from EHRs, claims, IoT devices, and clinical systems—delivering meaningful reports to stakeholders across departments. With healthcare </w:t>
      </w:r>
      <w:proofErr w:type="gramStart"/>
      <w:r w:rsidRPr="000B694D">
        <w:rPr>
          <w:rFonts w:ascii="Times New Roman" w:eastAsia="Times New Roman" w:hAnsi="Times New Roman" w:cs="Times New Roman"/>
          <w:sz w:val="24"/>
          <w:szCs w:val="24"/>
          <w:lang w:val="en-US"/>
        </w:rPr>
        <w:t>data volumes</w:t>
      </w:r>
      <w:proofErr w:type="gramEnd"/>
      <w:r w:rsidRPr="000B694D">
        <w:rPr>
          <w:rFonts w:ascii="Times New Roman" w:eastAsia="Times New Roman" w:hAnsi="Times New Roman" w:cs="Times New Roman"/>
          <w:sz w:val="24"/>
          <w:szCs w:val="24"/>
          <w:lang w:val="en-US"/>
        </w:rPr>
        <w:t xml:space="preserve"> rapidly expanding, scalable visualization solutions support timely reporting, regulatory compliance, and strategic planning</w:t>
      </w:r>
      <w:r w:rsidR="683C5820" w:rsidRPr="000B694D">
        <w:rPr>
          <w:rFonts w:ascii="Times New Roman" w:eastAsia="Times New Roman" w:hAnsi="Times New Roman" w:cs="Times New Roman"/>
          <w:sz w:val="24"/>
          <w:szCs w:val="24"/>
          <w:lang w:val="en-US"/>
        </w:rPr>
        <w:t xml:space="preserve"> (Rind et al., 2013)</w:t>
      </w:r>
      <w:r w:rsidRPr="000B694D">
        <w:rPr>
          <w:rFonts w:ascii="Times New Roman" w:eastAsia="Times New Roman" w:hAnsi="Times New Roman" w:cs="Times New Roman"/>
          <w:sz w:val="24"/>
          <w:szCs w:val="24"/>
          <w:lang w:val="en-US"/>
        </w:rPr>
        <w:t>. They also help standardize performance tracking, ensuring everyone from leadership to frontline staff can make informed, data-driven decisions</w:t>
      </w:r>
      <w:r w:rsidR="065B1E93" w:rsidRPr="000B694D">
        <w:rPr>
          <w:rFonts w:ascii="Times New Roman" w:eastAsia="Times New Roman" w:hAnsi="Times New Roman" w:cs="Times New Roman"/>
          <w:sz w:val="24"/>
          <w:szCs w:val="24"/>
          <w:lang w:val="en-US"/>
        </w:rPr>
        <w:t xml:space="preserve"> </w:t>
      </w:r>
      <w:r w:rsidR="065B1E93" w:rsidRPr="000B694D">
        <w:rPr>
          <w:rFonts w:ascii="Times New Roman" w:eastAsia="Times New Roman" w:hAnsi="Times New Roman" w:cs="Times New Roman"/>
          <w:color w:val="2C3E50"/>
          <w:sz w:val="24"/>
          <w:szCs w:val="24"/>
          <w:highlight w:val="white"/>
          <w:lang w:val="en-US"/>
        </w:rPr>
        <w:t>(</w:t>
      </w:r>
      <w:r w:rsidR="065B1E93" w:rsidRPr="000B694D">
        <w:rPr>
          <w:rFonts w:ascii="Times New Roman" w:eastAsia="Times New Roman" w:hAnsi="Times New Roman" w:cs="Times New Roman"/>
          <w:color w:val="000000" w:themeColor="text1"/>
          <w:sz w:val="24"/>
          <w:szCs w:val="24"/>
          <w:highlight w:val="white"/>
          <w:lang w:val="en-US"/>
        </w:rPr>
        <w:t>Gotz &amp; Borland, 2016)</w:t>
      </w:r>
      <w:r w:rsidR="72261A2F" w:rsidRPr="000B694D">
        <w:rPr>
          <w:rFonts w:ascii="Times New Roman" w:eastAsia="Times New Roman" w:hAnsi="Times New Roman" w:cs="Times New Roman"/>
          <w:color w:val="000000" w:themeColor="text1"/>
          <w:sz w:val="24"/>
          <w:szCs w:val="24"/>
          <w:highlight w:val="white"/>
          <w:lang w:val="en-US"/>
        </w:rPr>
        <w:t>.</w:t>
      </w:r>
    </w:p>
    <w:p w14:paraId="0A4B237E" w14:textId="186C997A" w:rsidR="4C32BA88" w:rsidRPr="000B694D" w:rsidRDefault="4C32BA88" w:rsidP="0E88A7E2">
      <w:pPr>
        <w:spacing w:before="240" w:after="240"/>
        <w:ind w:left="720" w:firstLine="720"/>
        <w:jc w:val="center"/>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t xml:space="preserve">Applications </w:t>
      </w:r>
      <w:proofErr w:type="gramStart"/>
      <w:r w:rsidRPr="000B694D">
        <w:rPr>
          <w:rFonts w:ascii="Times New Roman" w:eastAsia="Times New Roman" w:hAnsi="Times New Roman" w:cs="Times New Roman"/>
          <w:b/>
          <w:bCs/>
          <w:sz w:val="24"/>
          <w:szCs w:val="24"/>
          <w:lang w:val="en-US"/>
        </w:rPr>
        <w:t>of</w:t>
      </w:r>
      <w:proofErr w:type="gramEnd"/>
      <w:r w:rsidRPr="000B694D">
        <w:rPr>
          <w:rFonts w:ascii="Times New Roman" w:eastAsia="Times New Roman" w:hAnsi="Times New Roman" w:cs="Times New Roman"/>
          <w:b/>
          <w:bCs/>
          <w:sz w:val="24"/>
          <w:szCs w:val="24"/>
          <w:lang w:val="en-US"/>
        </w:rPr>
        <w:t xml:space="preserve"> Data Visualizations in Healthcare</w:t>
      </w:r>
    </w:p>
    <w:p w14:paraId="5F398403" w14:textId="27B1E2C0" w:rsidR="4C32BA88" w:rsidRPr="000B694D" w:rsidRDefault="4C32BA88"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Data visualization has emerged as a transformative tool in healthcare, enabling stakeholders to interpret complex datasets and drive evidence-based decisions. This section explores five key applications of data visualization, enriched with real-world examples leveraging Leapfrog Hospital Safety Grades and other frameworks.</w:t>
      </w:r>
    </w:p>
    <w:p w14:paraId="0E7F323B" w14:textId="34C1AD2E" w:rsidR="4C32BA88" w:rsidRPr="000B694D" w:rsidRDefault="4C32BA88" w:rsidP="0E88A7E2">
      <w:pPr>
        <w:spacing w:before="240" w:after="240"/>
        <w:rPr>
          <w:rFonts w:ascii="Times New Roman" w:eastAsia="Times New Roman" w:hAnsi="Times New Roman" w:cs="Times New Roman"/>
          <w:b/>
          <w:bCs/>
          <w:sz w:val="24"/>
          <w:szCs w:val="24"/>
        </w:rPr>
      </w:pPr>
      <w:r w:rsidRPr="000B694D">
        <w:rPr>
          <w:rFonts w:ascii="Times New Roman" w:eastAsia="Times New Roman" w:hAnsi="Times New Roman" w:cs="Times New Roman"/>
          <w:b/>
          <w:bCs/>
          <w:sz w:val="24"/>
          <w:szCs w:val="24"/>
        </w:rPr>
        <w:t>Improving Clinical Decision-Making</w:t>
      </w:r>
    </w:p>
    <w:p w14:paraId="425C815A" w14:textId="300DC04E" w:rsidR="0E88A7E2" w:rsidRPr="00712B58" w:rsidRDefault="4C32BA88" w:rsidP="00712B58">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Clinical decision-making relies on synthesizing patient data to guide diagnoses and treatments. Visualization tools such as electronic health record (EHR) dashboards allow physicians to track patient progress, identify abnormal lab results, and adjust care plans dynamically (McCoy et al., 2014). For instance, Epic Systems’ </w:t>
      </w:r>
      <w:proofErr w:type="spellStart"/>
      <w:r w:rsidRPr="000B694D">
        <w:rPr>
          <w:rFonts w:ascii="Times New Roman" w:eastAsia="Times New Roman" w:hAnsi="Times New Roman" w:cs="Times New Roman"/>
          <w:sz w:val="24"/>
          <w:szCs w:val="24"/>
          <w:lang w:val="en-US"/>
        </w:rPr>
        <w:t>SlicerDicer</w:t>
      </w:r>
      <w:proofErr w:type="spellEnd"/>
      <w:r w:rsidRPr="000B694D">
        <w:rPr>
          <w:rFonts w:ascii="Times New Roman" w:eastAsia="Times New Roman" w:hAnsi="Times New Roman" w:cs="Times New Roman"/>
          <w:sz w:val="24"/>
          <w:szCs w:val="24"/>
          <w:lang w:val="en-US"/>
        </w:rPr>
        <w:t xml:space="preserve"> integrates Leapfrog data on hospital-acquired infections (HAIs) and surgical outcomes into interactive dashboards, enabling clinicians to identify patterns in postoperative complications and refine protocols (Austin et al., 2014). Heat maps and predictive models further assist in stratifying high-risk patients, such as those with diabetes or cardiovascular conditions, allowing for early interventions. </w:t>
      </w:r>
      <w:r w:rsidR="60D7968A" w:rsidRPr="000B694D">
        <w:rPr>
          <w:rFonts w:ascii="Times New Roman" w:eastAsia="Times New Roman" w:hAnsi="Times New Roman" w:cs="Times New Roman"/>
          <w:sz w:val="24"/>
          <w:szCs w:val="24"/>
          <w:lang w:val="en-US"/>
        </w:rPr>
        <w:t>Citing another example, a</w:t>
      </w:r>
      <w:r w:rsidRPr="000B694D">
        <w:rPr>
          <w:rFonts w:ascii="Times New Roman" w:eastAsia="Times New Roman" w:hAnsi="Times New Roman" w:cs="Times New Roman"/>
          <w:sz w:val="24"/>
          <w:szCs w:val="24"/>
          <w:lang w:val="en-US"/>
        </w:rPr>
        <w:t>t Kaiser Permanente, visualizing Leapfrog metrics alongside clinical outcomes led to a 15% reduction in central line-associated bloodstream infections (CLABSI), demonstrating how real-time analytics can enhance preventive care.</w:t>
      </w:r>
    </w:p>
    <w:p w14:paraId="3242DCA0" w14:textId="58D62DF7" w:rsidR="4C32BA88" w:rsidRPr="000B694D" w:rsidRDefault="4C32BA88" w:rsidP="0E88A7E2">
      <w:pPr>
        <w:spacing w:before="240" w:after="240"/>
        <w:rPr>
          <w:rFonts w:ascii="Times New Roman" w:eastAsia="Times New Roman" w:hAnsi="Times New Roman" w:cs="Times New Roman"/>
          <w:b/>
          <w:bCs/>
          <w:sz w:val="24"/>
          <w:szCs w:val="24"/>
        </w:rPr>
      </w:pPr>
      <w:r w:rsidRPr="000B694D">
        <w:rPr>
          <w:rFonts w:ascii="Times New Roman" w:eastAsia="Times New Roman" w:hAnsi="Times New Roman" w:cs="Times New Roman"/>
          <w:b/>
          <w:bCs/>
          <w:sz w:val="24"/>
          <w:szCs w:val="24"/>
        </w:rPr>
        <w:lastRenderedPageBreak/>
        <w:t>Enhancing Hospital Operations</w:t>
      </w:r>
    </w:p>
    <w:p w14:paraId="6DADDF82" w14:textId="2C3C1528" w:rsidR="4C32BA88" w:rsidRPr="000B694D" w:rsidRDefault="4C32BA88"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Hospitals leverage visual analytics to optimize resource allocation, staffing, and workflow efficiency. Qlik Healthcare, used by institutions like Penn Medicine, combines Leapfrog safety grades with operational data to create executive dashboards that monitor patient flow, bed occupancy, and emergency department wait times (Stadler et al., 2016). These tools enable administrators to predict admission surges and reallocate staff during peak periods.  Intermountain Healthcare</w:t>
      </w:r>
      <w:r w:rsidR="61BDFE19" w:rsidRPr="000B694D">
        <w:rPr>
          <w:rFonts w:ascii="Times New Roman" w:eastAsia="Times New Roman" w:hAnsi="Times New Roman" w:cs="Times New Roman"/>
          <w:sz w:val="24"/>
          <w:szCs w:val="24"/>
          <w:lang w:val="en-US"/>
        </w:rPr>
        <w:t>, another healthcare organization</w:t>
      </w:r>
      <w:r w:rsidR="7BBC5F71" w:rsidRPr="000B694D">
        <w:rPr>
          <w:rFonts w:ascii="Times New Roman" w:eastAsia="Times New Roman" w:hAnsi="Times New Roman" w:cs="Times New Roman"/>
          <w:sz w:val="24"/>
          <w:szCs w:val="24"/>
          <w:lang w:val="en-US"/>
        </w:rPr>
        <w:t xml:space="preserve">, </w:t>
      </w:r>
      <w:r w:rsidRPr="000B694D">
        <w:rPr>
          <w:rFonts w:ascii="Times New Roman" w:eastAsia="Times New Roman" w:hAnsi="Times New Roman" w:cs="Times New Roman"/>
          <w:sz w:val="24"/>
          <w:szCs w:val="24"/>
          <w:lang w:val="en-US"/>
        </w:rPr>
        <w:t>uses Leapfrog-driven dashboards to highlight facilities with high rates of adverse events, prompting targeted resource redistribution to mitigate risks. Similarly, operational heat maps have been instrumental in reducing bottlenecks in medication administration and discharge processes, contributing to cost savings and improved patient satisfaction (Patel et al., 2009).</w:t>
      </w:r>
    </w:p>
    <w:p w14:paraId="49C90269" w14:textId="3F6E4CB0" w:rsidR="000B694D" w:rsidRPr="000B694D" w:rsidRDefault="4C32BA88" w:rsidP="0E88A7E2">
      <w:pPr>
        <w:spacing w:before="240" w:after="240"/>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t>Supporting Public Health Initiatives</w:t>
      </w:r>
    </w:p>
    <w:p w14:paraId="3BF76AD4" w14:textId="3426A636" w:rsidR="2DEC0B61" w:rsidRPr="000B694D" w:rsidRDefault="2DEC0B61"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Pu</w:t>
      </w:r>
      <w:r w:rsidR="4C32BA88" w:rsidRPr="000B694D">
        <w:rPr>
          <w:rFonts w:ascii="Times New Roman" w:eastAsia="Times New Roman" w:hAnsi="Times New Roman" w:cs="Times New Roman"/>
          <w:sz w:val="24"/>
          <w:szCs w:val="24"/>
          <w:lang w:val="en-US"/>
        </w:rPr>
        <w:t xml:space="preserve">blic health agencies rely on visualization to track disease trends and allocate resources. During the COVID-19 pandemic, interactive dashboards became critical for monitoring case counts, vaccination rates, and ICU capacity (Dong et al., 2020). Leapfrog’s Hospital Safety Grades, updated biannually, </w:t>
      </w:r>
      <w:proofErr w:type="gramStart"/>
      <w:r w:rsidR="4C32BA88" w:rsidRPr="000B694D">
        <w:rPr>
          <w:rFonts w:ascii="Times New Roman" w:eastAsia="Times New Roman" w:hAnsi="Times New Roman" w:cs="Times New Roman"/>
          <w:sz w:val="24"/>
          <w:szCs w:val="24"/>
          <w:lang w:val="en-US"/>
        </w:rPr>
        <w:t>provide</w:t>
      </w:r>
      <w:proofErr w:type="gramEnd"/>
      <w:r w:rsidR="4C32BA88" w:rsidRPr="000B694D">
        <w:rPr>
          <w:rFonts w:ascii="Times New Roman" w:eastAsia="Times New Roman" w:hAnsi="Times New Roman" w:cs="Times New Roman"/>
          <w:sz w:val="24"/>
          <w:szCs w:val="24"/>
          <w:lang w:val="en-US"/>
        </w:rPr>
        <w:t xml:space="preserve"> a standardized framework for assessing hospital safety performance, which policymakers use to identify regional disparities in care quality. For instance, the Urban Institute utilized Leapfrog data to analyze racial and ethnic disparities in adverse safety events, revealing that Black and Hispanic patients experience higher rates of surgical complications even at higher-graded hospitals </w:t>
      </w:r>
      <w:r w:rsidR="4B818B02" w:rsidRPr="000B694D">
        <w:rPr>
          <w:rFonts w:ascii="Times New Roman" w:eastAsia="Times New Roman" w:hAnsi="Times New Roman" w:cs="Times New Roman"/>
          <w:sz w:val="24"/>
          <w:szCs w:val="24"/>
          <w:lang w:val="en-US"/>
        </w:rPr>
        <w:t>(</w:t>
      </w:r>
      <w:proofErr w:type="spellStart"/>
      <w:r w:rsidR="4B818B02" w:rsidRPr="000B694D">
        <w:rPr>
          <w:rFonts w:ascii="Times New Roman" w:eastAsia="Times New Roman" w:hAnsi="Times New Roman" w:cs="Times New Roman"/>
          <w:sz w:val="24"/>
          <w:szCs w:val="24"/>
          <w:lang w:val="en-US"/>
        </w:rPr>
        <w:t>Gangopadhyaya</w:t>
      </w:r>
      <w:proofErr w:type="spellEnd"/>
      <w:r w:rsidR="4B818B02" w:rsidRPr="000B694D">
        <w:rPr>
          <w:rFonts w:ascii="Times New Roman" w:eastAsia="Times New Roman" w:hAnsi="Times New Roman" w:cs="Times New Roman"/>
          <w:sz w:val="24"/>
          <w:szCs w:val="24"/>
          <w:lang w:val="en-US"/>
        </w:rPr>
        <w:t xml:space="preserve"> et al., 2023)</w:t>
      </w:r>
      <w:r w:rsidR="4C32BA88" w:rsidRPr="000B694D">
        <w:rPr>
          <w:rFonts w:ascii="Times New Roman" w:eastAsia="Times New Roman" w:hAnsi="Times New Roman" w:cs="Times New Roman"/>
          <w:sz w:val="24"/>
          <w:szCs w:val="24"/>
          <w:lang w:val="en-US"/>
        </w:rPr>
        <w:t>. Such insights inform equity-focused policy decisions and resource distribution.</w:t>
      </w:r>
    </w:p>
    <w:p w14:paraId="78F08998" w14:textId="4D790A34" w:rsidR="4C32BA88" w:rsidRPr="000B694D" w:rsidRDefault="4C32BA88" w:rsidP="0E88A7E2">
      <w:pPr>
        <w:spacing w:before="240" w:after="240"/>
        <w:rPr>
          <w:rFonts w:ascii="Times New Roman" w:eastAsia="Times New Roman" w:hAnsi="Times New Roman" w:cs="Times New Roman"/>
          <w:b/>
          <w:bCs/>
          <w:sz w:val="24"/>
          <w:szCs w:val="24"/>
        </w:rPr>
      </w:pPr>
      <w:r w:rsidRPr="000B694D">
        <w:rPr>
          <w:rFonts w:ascii="Times New Roman" w:eastAsia="Times New Roman" w:hAnsi="Times New Roman" w:cs="Times New Roman"/>
          <w:b/>
          <w:bCs/>
          <w:sz w:val="24"/>
          <w:szCs w:val="24"/>
        </w:rPr>
        <w:t>Reducing Medical Errors</w:t>
      </w:r>
    </w:p>
    <w:p w14:paraId="7A3EFBAF" w14:textId="6191A6A0" w:rsidR="4C32BA88" w:rsidRPr="000B694D" w:rsidRDefault="4C32BA88"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lastRenderedPageBreak/>
        <w:t>Visualization tools minimize errors by translating complex data into intuitive formats. Color-coded medication reconciliation charts and AI-powered diagnostic imaging reduce prescription errors and misdiagnoses (Khairat et al., 2018). At Cleveland Clinic, a quality dashboard integrating Leapfrog metrics identified spikes in HAIs, prompting staff training programs that reduced catheter-associated urinary tract infections (CAUTI) by 20%. Additionally, predictive analytics models flag patients at risk of sepsis or falls, enabling preemptive interventions. Research shows that integrating visualization into clinical workflows reduces diagnostic errors by 30%, underscoring its role in enhancing patient safety (Choudhury &amp; Asan, 2020).</w:t>
      </w:r>
    </w:p>
    <w:p w14:paraId="050A7968" w14:textId="3EE60787" w:rsidR="4C32BA88" w:rsidRPr="000B694D" w:rsidRDefault="4C32BA88" w:rsidP="0E88A7E2">
      <w:pPr>
        <w:spacing w:before="240" w:after="240"/>
        <w:rPr>
          <w:rFonts w:ascii="Times New Roman" w:eastAsia="Times New Roman" w:hAnsi="Times New Roman" w:cs="Times New Roman"/>
          <w:b/>
          <w:bCs/>
          <w:sz w:val="24"/>
          <w:szCs w:val="24"/>
        </w:rPr>
      </w:pPr>
      <w:r w:rsidRPr="000B694D">
        <w:rPr>
          <w:rFonts w:ascii="Times New Roman" w:eastAsia="Times New Roman" w:hAnsi="Times New Roman" w:cs="Times New Roman"/>
          <w:b/>
          <w:bCs/>
          <w:sz w:val="24"/>
          <w:szCs w:val="24"/>
        </w:rPr>
        <w:t>Improving Patient Safety Monitoring</w:t>
      </w:r>
    </w:p>
    <w:p w14:paraId="6B0D9123" w14:textId="28D86139" w:rsidR="4C32BA88" w:rsidRPr="000B694D" w:rsidRDefault="4C32BA88" w:rsidP="007E5459">
      <w:pPr>
        <w:spacing w:before="240" w:after="240" w:line="480" w:lineRule="auto"/>
        <w:ind w:firstLine="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lang w:val="en-US"/>
        </w:rPr>
        <w:t>The Leapfrog Hospital Safety Grade, a composite measure of patient safety indicators, exemplifies how visualization enhances safety monitoring. Tools like Definitive Healthcare’s platform benchmark hospitals against Leapfrog standards, enabling leaders to prioritize interventions in areas such as surgical complications or pressure ulcers. For example, Leapfrog’s analysis of decade-long data revealed a 43% decline in CLABSI rates, attributed to standardized safety protocols and real-time dashboard monitoring. Similarly, the Agency for Healthcare Research and Quality’s PSI 90 leverages visualization to aggregate safety metrics, helping hospitals compare their performance against national benchmarks and implement corrective actions (Zrelak et al., 2022).</w:t>
      </w:r>
    </w:p>
    <w:p w14:paraId="2828DDA9" w14:textId="3894FC19" w:rsidR="272C1AAC" w:rsidRPr="000B694D" w:rsidRDefault="272C1AAC"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In this literature review, we will focus on how data visualization enhances hospital operations and improves patient safety monitoring, leveraging data provided by the Leapfrog Foundation. Specifically, we will examine the financial impact of hospital overcrowding, exploring how visual analytics can optimize resource allocation and mitigate financial strain.</w:t>
      </w:r>
    </w:p>
    <w:p w14:paraId="31D23EB4" w14:textId="03394B4F" w:rsidR="5A7475D3" w:rsidRPr="000B694D" w:rsidRDefault="5A7475D3" w:rsidP="0E88A7E2">
      <w:pPr>
        <w:spacing w:before="240" w:after="240" w:line="480" w:lineRule="auto"/>
        <w:jc w:val="center"/>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lastRenderedPageBreak/>
        <w:t>Enhancing Hospital Operations</w:t>
      </w:r>
    </w:p>
    <w:p w14:paraId="67F84363" w14:textId="4783B1E0" w:rsidR="5A7475D3" w:rsidRPr="000B694D" w:rsidRDefault="5A7475D3"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Efficient hospital operations are critical for delivering high-quality care and maintaining financial sustainability. One of the most significant operational challenges facing healthcare institutions is overcrowding, particularly in emergency departments (EDs) and intensive care units. This section examines the multifaceted impact of overcrowding on healthcare outcomes and hospital </w:t>
      </w:r>
      <w:r w:rsidR="1807B50B" w:rsidRPr="000B694D">
        <w:rPr>
          <w:rFonts w:ascii="Times New Roman" w:eastAsia="Times New Roman" w:hAnsi="Times New Roman" w:cs="Times New Roman"/>
          <w:sz w:val="24"/>
          <w:szCs w:val="24"/>
          <w:lang w:val="en-US"/>
        </w:rPr>
        <w:t>finances and</w:t>
      </w:r>
      <w:r w:rsidRPr="000B694D">
        <w:rPr>
          <w:rFonts w:ascii="Times New Roman" w:eastAsia="Times New Roman" w:hAnsi="Times New Roman" w:cs="Times New Roman"/>
          <w:sz w:val="24"/>
          <w:szCs w:val="24"/>
          <w:lang w:val="en-US"/>
        </w:rPr>
        <w:t xml:space="preserve"> sets the stage for how data visualization can be leveraged to address these challenges and improve decision-making.</w:t>
      </w:r>
    </w:p>
    <w:p w14:paraId="22B2A6E7" w14:textId="7750BAC3" w:rsidR="5A7475D3" w:rsidRPr="000B694D" w:rsidRDefault="5A7475D3" w:rsidP="0E88A7E2">
      <w:pPr>
        <w:spacing w:before="240" w:after="240" w:line="480" w:lineRule="auto"/>
        <w:jc w:val="both"/>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t>Impact of Overcrowding on Healthcare Outcomes</w:t>
      </w:r>
    </w:p>
    <w:p w14:paraId="0993291D" w14:textId="676B1DC5" w:rsidR="088F389F" w:rsidRPr="000B694D" w:rsidRDefault="088F389F" w:rsidP="007E5459">
      <w:pPr>
        <w:spacing w:before="240" w:after="240" w:line="480" w:lineRule="auto"/>
        <w:ind w:firstLine="720"/>
        <w:rPr>
          <w:rFonts w:ascii="Times New Roman" w:eastAsia="Times New Roman" w:hAnsi="Times New Roman" w:cs="Times New Roman"/>
          <w:color w:val="000000" w:themeColor="text1"/>
          <w:sz w:val="24"/>
          <w:szCs w:val="24"/>
          <w:lang w:val="en-US"/>
        </w:rPr>
      </w:pPr>
      <w:r w:rsidRPr="000B694D">
        <w:rPr>
          <w:rFonts w:ascii="Times New Roman" w:eastAsia="Times New Roman" w:hAnsi="Times New Roman" w:cs="Times New Roman"/>
          <w:color w:val="000000" w:themeColor="text1"/>
          <w:sz w:val="24"/>
          <w:szCs w:val="24"/>
          <w:lang w:val="en-US"/>
        </w:rPr>
        <w:t>Overcrowding places severe strain on healthcare systems, compromising care quality and patient safety. A national survey of U.S. ED directors found that 91% of facilities experienced frequent overcrowding, with high-volume EDs (serving populations over 250,000) reporting a 96% prevalence (</w:t>
      </w:r>
      <w:proofErr w:type="spellStart"/>
      <w:r w:rsidRPr="000B694D">
        <w:rPr>
          <w:rFonts w:ascii="Times New Roman" w:eastAsia="Times New Roman" w:hAnsi="Times New Roman" w:cs="Times New Roman"/>
          <w:color w:val="000000" w:themeColor="text1"/>
          <w:sz w:val="24"/>
          <w:szCs w:val="24"/>
          <w:lang w:val="en-US"/>
        </w:rPr>
        <w:t>Derlet</w:t>
      </w:r>
      <w:proofErr w:type="spellEnd"/>
      <w:r w:rsidRPr="000B694D">
        <w:rPr>
          <w:rFonts w:ascii="Times New Roman" w:eastAsia="Times New Roman" w:hAnsi="Times New Roman" w:cs="Times New Roman"/>
          <w:color w:val="000000" w:themeColor="text1"/>
          <w:sz w:val="24"/>
          <w:szCs w:val="24"/>
          <w:lang w:val="en-US"/>
        </w:rPr>
        <w:t xml:space="preserve"> et al., 2001). Common bottlenecks included hallway boarding (74% of EDs), fully occupied beds (70%), and multi-hour waiting room delays (70%), all of which contributed to adverse outcomes such as delayed diagnoses and increased mortality risk—reported by 33% of directors during peak hours (</w:t>
      </w:r>
      <w:proofErr w:type="spellStart"/>
      <w:r w:rsidRPr="000B694D">
        <w:rPr>
          <w:rFonts w:ascii="Times New Roman" w:eastAsia="Times New Roman" w:hAnsi="Times New Roman" w:cs="Times New Roman"/>
          <w:color w:val="000000" w:themeColor="text1"/>
          <w:sz w:val="24"/>
          <w:szCs w:val="24"/>
          <w:lang w:val="en-US"/>
        </w:rPr>
        <w:t>Derlet</w:t>
      </w:r>
      <w:proofErr w:type="spellEnd"/>
      <w:r w:rsidRPr="000B694D">
        <w:rPr>
          <w:rFonts w:ascii="Times New Roman" w:eastAsia="Times New Roman" w:hAnsi="Times New Roman" w:cs="Times New Roman"/>
          <w:color w:val="000000" w:themeColor="text1"/>
          <w:sz w:val="24"/>
          <w:szCs w:val="24"/>
          <w:lang w:val="en-US"/>
        </w:rPr>
        <w:t xml:space="preserve"> et al., 2001). These operational failures often stem from systemic issues like hospital bed shortages and prolonged inpatient boarding, which divert up to 40% of ED staff time away from new arrivals (</w:t>
      </w:r>
      <w:proofErr w:type="spellStart"/>
      <w:r w:rsidRPr="000B694D">
        <w:rPr>
          <w:rFonts w:ascii="Times New Roman" w:eastAsia="Times New Roman" w:hAnsi="Times New Roman" w:cs="Times New Roman"/>
          <w:color w:val="000000" w:themeColor="text1"/>
          <w:sz w:val="24"/>
          <w:szCs w:val="24"/>
          <w:lang w:val="en-US"/>
        </w:rPr>
        <w:t>Savioli</w:t>
      </w:r>
      <w:proofErr w:type="spellEnd"/>
      <w:r w:rsidRPr="000B694D">
        <w:rPr>
          <w:rFonts w:ascii="Times New Roman" w:eastAsia="Times New Roman" w:hAnsi="Times New Roman" w:cs="Times New Roman"/>
          <w:color w:val="000000" w:themeColor="text1"/>
          <w:sz w:val="24"/>
          <w:szCs w:val="24"/>
          <w:lang w:val="en-US"/>
        </w:rPr>
        <w:t xml:space="preserve"> et al., 2022). The negative effects of overcrowding are not limited to EDs; for example, neonatal ICUs with high infant-to-nurse ratios have been shown to experience a 16-fold increase in staphylococcal infection rates, highlighting the broader risks associated with understaffing and resource constraints (Haley &amp; Bregman, 1982).</w:t>
      </w:r>
    </w:p>
    <w:p w14:paraId="2F157222" w14:textId="20888D91" w:rsidR="088F389F" w:rsidRPr="000B694D" w:rsidRDefault="088F389F" w:rsidP="007E5459">
      <w:pPr>
        <w:spacing w:before="240" w:after="240" w:line="480" w:lineRule="auto"/>
        <w:ind w:firstLine="720"/>
        <w:rPr>
          <w:rFonts w:ascii="Times New Roman" w:eastAsia="Times New Roman" w:hAnsi="Times New Roman" w:cs="Times New Roman"/>
          <w:color w:val="FF0000"/>
          <w:sz w:val="24"/>
          <w:szCs w:val="24"/>
          <w:lang w:val="en-US"/>
        </w:rPr>
      </w:pPr>
      <w:r w:rsidRPr="000B694D">
        <w:rPr>
          <w:rFonts w:ascii="Times New Roman" w:eastAsia="Times New Roman" w:hAnsi="Times New Roman" w:cs="Times New Roman"/>
          <w:color w:val="000000" w:themeColor="text1"/>
          <w:sz w:val="24"/>
          <w:szCs w:val="24"/>
          <w:lang w:val="en-US"/>
        </w:rPr>
        <w:lastRenderedPageBreak/>
        <w:t xml:space="preserve">Given these challenges, data visualization emerges as a critical tool for enhancing hospital operations and mitigating the risks associated with overcrowding. By transforming complex operational data into intuitive dashboards and real-time analytics, hospitals can identify bottlenecks, monitor patient flow, and optimize resource allocation. For example, visual analytics platforms can track bed occupancy, highlight trends </w:t>
      </w:r>
      <w:r w:rsidR="072014D0" w:rsidRPr="000B694D">
        <w:rPr>
          <w:rFonts w:ascii="Times New Roman" w:eastAsia="Times New Roman" w:hAnsi="Times New Roman" w:cs="Times New Roman"/>
          <w:color w:val="000000" w:themeColor="text1"/>
          <w:sz w:val="24"/>
          <w:szCs w:val="24"/>
          <w:lang w:val="en-US"/>
        </w:rPr>
        <w:t>in-patient</w:t>
      </w:r>
      <w:r w:rsidRPr="000B694D">
        <w:rPr>
          <w:rFonts w:ascii="Times New Roman" w:eastAsia="Times New Roman" w:hAnsi="Times New Roman" w:cs="Times New Roman"/>
          <w:color w:val="000000" w:themeColor="text1"/>
          <w:sz w:val="24"/>
          <w:szCs w:val="24"/>
          <w:lang w:val="en-US"/>
        </w:rPr>
        <w:t xml:space="preserve"> admissions and discharges, and forecast surges in demand, enabling proactive interventions. Integrating data visualization into hospital management not only supports evidence-based decision-making but also drives improvements in both clinical outcomes and financial performance—aligning with the central aim of this literature review.</w:t>
      </w:r>
    </w:p>
    <w:p w14:paraId="7AC6698D" w14:textId="11341876" w:rsidR="5A7475D3" w:rsidRPr="000B694D" w:rsidRDefault="5A7475D3" w:rsidP="0E88A7E2">
      <w:pPr>
        <w:spacing w:before="240" w:after="240" w:line="480" w:lineRule="auto"/>
        <w:jc w:val="both"/>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t>Impact of Overcrowding on Hospital Finances</w:t>
      </w:r>
    </w:p>
    <w:p w14:paraId="15268918" w14:textId="22BDE227" w:rsidR="1D6D77AB" w:rsidRPr="000B694D" w:rsidRDefault="1D6D77AB"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Overcrowding in hospitals creates a cycle of financial strain, inadequate nurse staffing, and aggressive cost-recovery strategies. Peer-reviewed research demonstrates that these dynamics are closely intertwined, with financial pressures from overcrowding leading to both reduced staffing and increased reliance on legal actions to recover costs.</w:t>
      </w:r>
    </w:p>
    <w:p w14:paraId="2B3F6BF7" w14:textId="62FD258D" w:rsidR="000B694D" w:rsidRPr="000B694D" w:rsidRDefault="1D6D77AB"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Hospitals experiencing overcrowding often face budget constraints that force reductions in registered nurse (RN) staffing</w:t>
      </w:r>
      <w:r w:rsidR="2C139696" w:rsidRPr="000B694D">
        <w:rPr>
          <w:rFonts w:ascii="Times New Roman" w:eastAsia="Times New Roman" w:hAnsi="Times New Roman" w:cs="Times New Roman"/>
          <w:sz w:val="24"/>
          <w:szCs w:val="24"/>
          <w:lang w:val="en-US"/>
        </w:rPr>
        <w:t xml:space="preserve"> </w:t>
      </w:r>
      <w:r w:rsidR="7CCAF15C" w:rsidRPr="000B694D">
        <w:rPr>
          <w:rFonts w:ascii="Times New Roman" w:eastAsia="Times New Roman" w:hAnsi="Times New Roman" w:cs="Times New Roman"/>
          <w:sz w:val="24"/>
          <w:szCs w:val="24"/>
          <w:lang w:val="en-US"/>
        </w:rPr>
        <w:t>(see Figure 1)</w:t>
      </w:r>
      <w:r w:rsidRPr="000B694D">
        <w:rPr>
          <w:rFonts w:ascii="Times New Roman" w:eastAsia="Times New Roman" w:hAnsi="Times New Roman" w:cs="Times New Roman"/>
          <w:sz w:val="24"/>
          <w:szCs w:val="24"/>
          <w:lang w:val="en-US"/>
        </w:rPr>
        <w:t xml:space="preserve">. Nurse staffing is a major component of hospital operating costs, and financial strain frequently results in fewer RN hours per patient </w:t>
      </w:r>
      <w:r w:rsidR="1287854B" w:rsidRPr="000B694D">
        <w:rPr>
          <w:rFonts w:ascii="Times New Roman" w:eastAsia="Times New Roman" w:hAnsi="Times New Roman" w:cs="Times New Roman"/>
          <w:sz w:val="24"/>
          <w:szCs w:val="24"/>
          <w:lang w:val="en-US"/>
        </w:rPr>
        <w:t>(</w:t>
      </w:r>
      <w:proofErr w:type="spellStart"/>
      <w:r w:rsidR="1287854B" w:rsidRPr="000B694D">
        <w:rPr>
          <w:rFonts w:ascii="Times New Roman" w:eastAsia="Times New Roman" w:hAnsi="Times New Roman" w:cs="Times New Roman"/>
          <w:sz w:val="24"/>
          <w:szCs w:val="24"/>
          <w:lang w:val="en-US"/>
        </w:rPr>
        <w:t>Thungjaroenkul</w:t>
      </w:r>
      <w:proofErr w:type="spellEnd"/>
      <w:r w:rsidR="1287854B" w:rsidRPr="000B694D">
        <w:rPr>
          <w:rFonts w:ascii="Times New Roman" w:eastAsia="Times New Roman" w:hAnsi="Times New Roman" w:cs="Times New Roman"/>
          <w:sz w:val="24"/>
          <w:szCs w:val="24"/>
          <w:lang w:val="en-US"/>
        </w:rPr>
        <w:t xml:space="preserve"> et al., 2007)</w:t>
      </w:r>
      <w:r w:rsidRPr="000B694D">
        <w:rPr>
          <w:rFonts w:ascii="Times New Roman" w:eastAsia="Times New Roman" w:hAnsi="Times New Roman" w:cs="Times New Roman"/>
          <w:sz w:val="24"/>
          <w:szCs w:val="24"/>
          <w:lang w:val="en-US"/>
        </w:rPr>
        <w:t xml:space="preserve">. This reduction in staffing is associated with poorer patient outcomes and longer hospital stays, which further increase operational costs. For example, Lasater et al. (2021) found that hospitals with higher patient-to-nurse ratios experienced a 16% increase in 30-day mortality and a 5% increase in length of stay for each additional patient per nurse. These findings are supported by Griffiths et al. (2023), who reported that increasing RN </w:t>
      </w:r>
      <w:r w:rsidRPr="000B694D">
        <w:rPr>
          <w:rFonts w:ascii="Times New Roman" w:eastAsia="Times New Roman" w:hAnsi="Times New Roman" w:cs="Times New Roman"/>
          <w:sz w:val="24"/>
          <w:szCs w:val="24"/>
          <w:lang w:val="en-US"/>
        </w:rPr>
        <w:lastRenderedPageBreak/>
        <w:t>staffing levels not only improves patient outcomes but also reduces net costs by decreasing complications and shortening hospital stays.</w:t>
      </w:r>
    </w:p>
    <w:p w14:paraId="66F8F0DC" w14:textId="2F7A34F2" w:rsidR="00BE146F" w:rsidRPr="00BE146F" w:rsidRDefault="00BE146F" w:rsidP="00BE146F">
      <w:pPr>
        <w:pStyle w:val="Caption"/>
        <w:keepNext/>
        <w:jc w:val="center"/>
        <w:rPr>
          <w:rFonts w:ascii="Times New Roman" w:hAnsi="Times New Roman" w:cs="Times New Roman"/>
          <w:i w:val="0"/>
          <w:iCs w:val="0"/>
          <w:color w:val="auto"/>
          <w:sz w:val="22"/>
          <w:szCs w:val="22"/>
        </w:rPr>
      </w:pPr>
      <w:r w:rsidRPr="00BE146F">
        <w:rPr>
          <w:rFonts w:ascii="Times New Roman" w:hAnsi="Times New Roman" w:cs="Times New Roman"/>
          <w:i w:val="0"/>
          <w:iCs w:val="0"/>
          <w:color w:val="auto"/>
          <w:sz w:val="22"/>
          <w:szCs w:val="22"/>
        </w:rPr>
        <w:t xml:space="preserve">Figure </w:t>
      </w:r>
      <w:r w:rsidRPr="00BE146F">
        <w:rPr>
          <w:rFonts w:ascii="Times New Roman" w:hAnsi="Times New Roman" w:cs="Times New Roman"/>
          <w:i w:val="0"/>
          <w:iCs w:val="0"/>
          <w:color w:val="auto"/>
          <w:sz w:val="22"/>
          <w:szCs w:val="22"/>
        </w:rPr>
        <w:fldChar w:fldCharType="begin"/>
      </w:r>
      <w:r w:rsidRPr="00BE146F">
        <w:rPr>
          <w:rFonts w:ascii="Times New Roman" w:hAnsi="Times New Roman" w:cs="Times New Roman"/>
          <w:i w:val="0"/>
          <w:iCs w:val="0"/>
          <w:color w:val="auto"/>
          <w:sz w:val="22"/>
          <w:szCs w:val="22"/>
        </w:rPr>
        <w:instrText xml:space="preserve"> SEQ Figure \* ARABIC </w:instrText>
      </w:r>
      <w:r w:rsidRPr="00BE146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BE146F">
        <w:rPr>
          <w:rFonts w:ascii="Times New Roman" w:hAnsi="Times New Roman" w:cs="Times New Roman"/>
          <w:i w:val="0"/>
          <w:iCs w:val="0"/>
          <w:color w:val="auto"/>
          <w:sz w:val="22"/>
          <w:szCs w:val="22"/>
        </w:rPr>
        <w:fldChar w:fldCharType="end"/>
      </w:r>
    </w:p>
    <w:p w14:paraId="7D265BAF" w14:textId="748470E6" w:rsidR="4A42A206" w:rsidRPr="000B694D" w:rsidRDefault="4A42A206" w:rsidP="007E5459">
      <w:pPr>
        <w:spacing w:before="240" w:after="240" w:line="480" w:lineRule="auto"/>
        <w:rPr>
          <w:rFonts w:ascii="Times New Roman" w:eastAsia="Times New Roman" w:hAnsi="Times New Roman" w:cs="Times New Roman"/>
          <w:sz w:val="24"/>
          <w:szCs w:val="24"/>
          <w:lang w:val="en-US"/>
        </w:rPr>
      </w:pPr>
      <w:r w:rsidRPr="000B694D">
        <w:rPr>
          <w:rFonts w:ascii="Times New Roman" w:hAnsi="Times New Roman" w:cs="Times New Roman"/>
          <w:noProof/>
          <w:sz w:val="24"/>
          <w:szCs w:val="24"/>
        </w:rPr>
        <w:drawing>
          <wp:inline distT="0" distB="0" distL="0" distR="0" wp14:anchorId="2E3EF88E" wp14:editId="5153A452">
            <wp:extent cx="5943600" cy="3886200"/>
            <wp:effectExtent l="9525" t="9525" r="9525" b="9525"/>
            <wp:docPr id="124309535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95355" name=""/>
                    <pic:cNvPicPr/>
                  </pic:nvPicPr>
                  <pic:blipFill>
                    <a:blip r:embed="rId8">
                      <a:extLst>
                        <a:ext uri="{28A0092B-C50C-407E-A947-70E740481C1C}">
                          <a14:useLocalDpi xmlns:a14="http://schemas.microsoft.com/office/drawing/2010/main"/>
                        </a:ext>
                      </a:extLst>
                    </a:blip>
                    <a:stretch>
                      <a:fillRect/>
                    </a:stretch>
                  </pic:blipFill>
                  <pic:spPr>
                    <a:xfrm>
                      <a:off x="0" y="0"/>
                      <a:ext cx="5943600" cy="3886200"/>
                    </a:xfrm>
                    <a:prstGeom prst="rect">
                      <a:avLst/>
                    </a:prstGeom>
                    <a:ln w="9525">
                      <a:solidFill>
                        <a:schemeClr val="bg1"/>
                      </a:solidFill>
                      <a:prstDash val="solid"/>
                    </a:ln>
                  </pic:spPr>
                </pic:pic>
              </a:graphicData>
            </a:graphic>
          </wp:inline>
        </w:drawing>
      </w:r>
      <w:r w:rsidRPr="000B694D">
        <w:rPr>
          <w:rFonts w:ascii="Times New Roman" w:hAnsi="Times New Roman" w:cs="Times New Roman"/>
          <w:sz w:val="24"/>
          <w:szCs w:val="24"/>
        </w:rPr>
        <w:tab/>
      </w:r>
      <w:r w:rsidR="1D6D77AB" w:rsidRPr="000B694D">
        <w:rPr>
          <w:rFonts w:ascii="Times New Roman" w:eastAsia="Times New Roman" w:hAnsi="Times New Roman" w:cs="Times New Roman"/>
          <w:sz w:val="24"/>
          <w:szCs w:val="24"/>
          <w:lang w:val="en-US"/>
        </w:rPr>
        <w:t>In response to these financial pressures, some hospitals resort to aggressive billing and legal actions to recover costs</w:t>
      </w:r>
      <w:r w:rsidR="6A2F2808" w:rsidRPr="000B694D">
        <w:rPr>
          <w:rFonts w:ascii="Times New Roman" w:eastAsia="Times New Roman" w:hAnsi="Times New Roman" w:cs="Times New Roman"/>
          <w:sz w:val="24"/>
          <w:szCs w:val="24"/>
          <w:lang w:val="en-US"/>
        </w:rPr>
        <w:t xml:space="preserve"> </w:t>
      </w:r>
      <w:r w:rsidR="71105B3D" w:rsidRPr="000B694D">
        <w:rPr>
          <w:rFonts w:ascii="Times New Roman" w:eastAsia="Times New Roman" w:hAnsi="Times New Roman" w:cs="Times New Roman"/>
          <w:sz w:val="24"/>
          <w:szCs w:val="24"/>
          <w:lang w:val="en-US"/>
        </w:rPr>
        <w:t>(see Figure 2).</w:t>
      </w:r>
      <w:r w:rsidR="1D6D77AB" w:rsidRPr="000B694D">
        <w:rPr>
          <w:rFonts w:ascii="Times New Roman" w:eastAsia="Times New Roman" w:hAnsi="Times New Roman" w:cs="Times New Roman"/>
          <w:sz w:val="24"/>
          <w:szCs w:val="24"/>
          <w:lang w:val="en-US"/>
        </w:rPr>
        <w:t xml:space="preserve"> Bai et al. (2022) analyzed the billing practices of the largest 100 U.S. hospitals and found that 26 hospitals filed nearly 39,000 lawsuits, wage garnishments, or liens against patients for unpaid medical bills over a two-year period. These actions were disproportionately concentrated in hospitals facing financial strain, often linked to overcrowding and high uncompensated care burdens.</w:t>
      </w:r>
    </w:p>
    <w:p w14:paraId="6ABB1036" w14:textId="21B31357" w:rsidR="00BE146F" w:rsidRPr="00BE146F" w:rsidRDefault="00BE146F" w:rsidP="00BE146F">
      <w:pPr>
        <w:pStyle w:val="Caption"/>
        <w:keepNext/>
        <w:jc w:val="center"/>
        <w:rPr>
          <w:rFonts w:ascii="Times New Roman" w:hAnsi="Times New Roman" w:cs="Times New Roman"/>
          <w:i w:val="0"/>
          <w:iCs w:val="0"/>
          <w:color w:val="auto"/>
          <w:sz w:val="22"/>
          <w:szCs w:val="22"/>
        </w:rPr>
      </w:pPr>
      <w:r w:rsidRPr="00BE146F">
        <w:rPr>
          <w:rFonts w:ascii="Times New Roman" w:hAnsi="Times New Roman" w:cs="Times New Roman"/>
          <w:i w:val="0"/>
          <w:iCs w:val="0"/>
          <w:color w:val="auto"/>
          <w:sz w:val="22"/>
          <w:szCs w:val="22"/>
        </w:rPr>
        <w:lastRenderedPageBreak/>
        <w:t xml:space="preserve">Figure </w:t>
      </w:r>
      <w:r w:rsidRPr="00BE146F">
        <w:rPr>
          <w:rFonts w:ascii="Times New Roman" w:hAnsi="Times New Roman" w:cs="Times New Roman"/>
          <w:i w:val="0"/>
          <w:iCs w:val="0"/>
          <w:color w:val="auto"/>
          <w:sz w:val="22"/>
          <w:szCs w:val="22"/>
        </w:rPr>
        <w:fldChar w:fldCharType="begin"/>
      </w:r>
      <w:r w:rsidRPr="00BE146F">
        <w:rPr>
          <w:rFonts w:ascii="Times New Roman" w:hAnsi="Times New Roman" w:cs="Times New Roman"/>
          <w:i w:val="0"/>
          <w:iCs w:val="0"/>
          <w:color w:val="auto"/>
          <w:sz w:val="22"/>
          <w:szCs w:val="22"/>
        </w:rPr>
        <w:instrText xml:space="preserve"> SEQ Figure \* ARABIC </w:instrText>
      </w:r>
      <w:r w:rsidRPr="00BE146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2</w:t>
      </w:r>
      <w:r w:rsidRPr="00BE146F">
        <w:rPr>
          <w:rFonts w:ascii="Times New Roman" w:hAnsi="Times New Roman" w:cs="Times New Roman"/>
          <w:i w:val="0"/>
          <w:iCs w:val="0"/>
          <w:color w:val="auto"/>
          <w:sz w:val="22"/>
          <w:szCs w:val="22"/>
        </w:rPr>
        <w:fldChar w:fldCharType="end"/>
      </w:r>
    </w:p>
    <w:p w14:paraId="02E0BD66" w14:textId="652DAA64" w:rsidR="393641A7" w:rsidRPr="000B694D" w:rsidRDefault="393641A7" w:rsidP="007E5459">
      <w:pPr>
        <w:spacing w:before="240" w:after="240" w:line="480" w:lineRule="auto"/>
        <w:rPr>
          <w:rFonts w:ascii="Times New Roman" w:eastAsia="Times New Roman" w:hAnsi="Times New Roman" w:cs="Times New Roman"/>
          <w:sz w:val="24"/>
          <w:szCs w:val="24"/>
          <w:lang w:val="en-US"/>
        </w:rPr>
      </w:pPr>
      <w:r w:rsidRPr="000B694D">
        <w:rPr>
          <w:rFonts w:ascii="Times New Roman" w:hAnsi="Times New Roman" w:cs="Times New Roman"/>
          <w:noProof/>
          <w:sz w:val="24"/>
          <w:szCs w:val="24"/>
        </w:rPr>
        <w:drawing>
          <wp:inline distT="0" distB="0" distL="0" distR="0" wp14:anchorId="0FB12A0A" wp14:editId="294CE8A9">
            <wp:extent cx="6543101" cy="2409817"/>
            <wp:effectExtent l="9525" t="9525" r="9525" b="9525"/>
            <wp:docPr id="210878711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70566" name=""/>
                    <pic:cNvPicPr/>
                  </pic:nvPicPr>
                  <pic:blipFill>
                    <a:blip r:embed="rId9">
                      <a:extLst>
                        <a:ext uri="{28A0092B-C50C-407E-A947-70E740481C1C}">
                          <a14:useLocalDpi xmlns:a14="http://schemas.microsoft.com/office/drawing/2010/main"/>
                        </a:ext>
                      </a:extLst>
                    </a:blip>
                    <a:stretch>
                      <a:fillRect/>
                    </a:stretch>
                  </pic:blipFill>
                  <pic:spPr>
                    <a:xfrm>
                      <a:off x="0" y="0"/>
                      <a:ext cx="6543101" cy="2409817"/>
                    </a:xfrm>
                    <a:prstGeom prst="rect">
                      <a:avLst/>
                    </a:prstGeom>
                    <a:ln w="9525">
                      <a:solidFill>
                        <a:schemeClr val="bg1"/>
                      </a:solidFill>
                      <a:prstDash val="solid"/>
                    </a:ln>
                  </pic:spPr>
                </pic:pic>
              </a:graphicData>
            </a:graphic>
          </wp:inline>
        </w:drawing>
      </w:r>
      <w:r w:rsidRPr="000B694D">
        <w:rPr>
          <w:rFonts w:ascii="Times New Roman" w:hAnsi="Times New Roman" w:cs="Times New Roman"/>
          <w:sz w:val="24"/>
          <w:szCs w:val="24"/>
        </w:rPr>
        <w:tab/>
      </w:r>
      <w:r w:rsidR="1D6D77AB" w:rsidRPr="000B694D">
        <w:rPr>
          <w:rFonts w:ascii="Times New Roman" w:eastAsia="Times New Roman" w:hAnsi="Times New Roman" w:cs="Times New Roman"/>
          <w:sz w:val="24"/>
          <w:szCs w:val="24"/>
          <w:lang w:val="en-US"/>
        </w:rPr>
        <w:t xml:space="preserve">This cycle is further exacerbated by the effects of inadequate staffing on patient flow. </w:t>
      </w:r>
      <w:r w:rsidR="0F035061" w:rsidRPr="000B694D">
        <w:rPr>
          <w:rFonts w:ascii="Times New Roman" w:eastAsia="Times New Roman" w:hAnsi="Times New Roman" w:cs="Times New Roman"/>
          <w:sz w:val="24"/>
          <w:szCs w:val="24"/>
          <w:lang w:val="en-US"/>
        </w:rPr>
        <w:t>Guerrero et al. (2024)</w:t>
      </w:r>
      <w:r w:rsidR="1D6D77AB" w:rsidRPr="000B694D">
        <w:rPr>
          <w:rFonts w:ascii="Times New Roman" w:eastAsia="Times New Roman" w:hAnsi="Times New Roman" w:cs="Times New Roman"/>
          <w:sz w:val="24"/>
          <w:szCs w:val="24"/>
          <w:lang w:val="en-US"/>
        </w:rPr>
        <w:t xml:space="preserve"> found that overcrowding due to insufficient inpatient beds and nurse staffing led to increased nurse burnout, prolonged patient stays, and higher treatment costs. These operational inefficiencies not only strain hospital finances but also incentivize more aggressive cost-recovery strategies.</w:t>
      </w:r>
    </w:p>
    <w:p w14:paraId="4EDDAB57" w14:textId="38B96156" w:rsidR="0E88A7E2" w:rsidRPr="00BE146F" w:rsidRDefault="1D6D77AB"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Data visualization tools can help break this cycle by providing real-time insights into nurse staffing levels, patient flow, and financial performance. By leveraging dashboards and analytics platforms, hospital administrators can identify inefficiencies, optimize resource allocation, and make evidence-based decisions to improve both clinical and financial outcomes.</w:t>
      </w:r>
    </w:p>
    <w:p w14:paraId="6F81108F" w14:textId="03209DED" w:rsidR="00C85EAF" w:rsidRPr="000B694D" w:rsidRDefault="1D46AB52" w:rsidP="0E88A7E2">
      <w:pPr>
        <w:tabs>
          <w:tab w:val="left" w:pos="540"/>
        </w:tabs>
        <w:spacing w:before="240" w:after="240" w:line="480" w:lineRule="auto"/>
        <w:jc w:val="center"/>
        <w:rPr>
          <w:rFonts w:ascii="Times New Roman" w:eastAsia="Times New Roman" w:hAnsi="Times New Roman" w:cs="Times New Roman"/>
          <w:b/>
          <w:bCs/>
          <w:color w:val="FF0000"/>
          <w:sz w:val="24"/>
          <w:szCs w:val="24"/>
          <w:lang w:val="en-US"/>
        </w:rPr>
      </w:pPr>
      <w:r w:rsidRPr="000B694D">
        <w:rPr>
          <w:rFonts w:ascii="Times New Roman" w:eastAsia="Times New Roman" w:hAnsi="Times New Roman" w:cs="Times New Roman"/>
          <w:b/>
          <w:bCs/>
          <w:sz w:val="24"/>
          <w:szCs w:val="24"/>
          <w:lang w:val="en-US"/>
        </w:rPr>
        <w:t>Improving Patient Safety Monitoring</w:t>
      </w:r>
    </w:p>
    <w:p w14:paraId="45654233" w14:textId="01EA02D5" w:rsidR="00C85EAF" w:rsidRPr="000B694D" w:rsidRDefault="1D46AB52" w:rsidP="007E5459">
      <w:pPr>
        <w:spacing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Patient safety remains a critical concern in healthcare, and effective monitoring of hospital performance is essential for reducing adverse events. The current structure of healthcare and the associated focus on quality and safety is rooted in over 100 years of </w:t>
      </w:r>
      <w:proofErr w:type="gramStart"/>
      <w:r w:rsidRPr="000B694D">
        <w:rPr>
          <w:rFonts w:ascii="Times New Roman" w:eastAsia="Times New Roman" w:hAnsi="Times New Roman" w:cs="Times New Roman"/>
          <w:sz w:val="24"/>
          <w:szCs w:val="24"/>
          <w:lang w:val="en-US"/>
        </w:rPr>
        <w:t>improvement</w:t>
      </w:r>
      <w:proofErr w:type="gramEnd"/>
      <w:r w:rsidR="0D3AD820" w:rsidRPr="000B694D">
        <w:rPr>
          <w:rFonts w:ascii="Times New Roman" w:eastAsia="Times New Roman" w:hAnsi="Times New Roman" w:cs="Times New Roman"/>
          <w:sz w:val="24"/>
          <w:szCs w:val="24"/>
          <w:lang w:val="en-US"/>
        </w:rPr>
        <w:t xml:space="preserve"> </w:t>
      </w:r>
      <w:r w:rsidRPr="000B694D">
        <w:rPr>
          <w:rFonts w:ascii="Times New Roman" w:eastAsia="Times New Roman" w:hAnsi="Times New Roman" w:cs="Times New Roman"/>
          <w:sz w:val="24"/>
          <w:szCs w:val="24"/>
          <w:lang w:val="en-US"/>
        </w:rPr>
        <w:t xml:space="preserve">initiatives. As challenges in healthcare and safety continue to evolve, the need to monitor, </w:t>
      </w:r>
      <w:r w:rsidRPr="000B694D">
        <w:rPr>
          <w:rFonts w:ascii="Times New Roman" w:eastAsia="Times New Roman" w:hAnsi="Times New Roman" w:cs="Times New Roman"/>
          <w:sz w:val="24"/>
          <w:szCs w:val="24"/>
          <w:lang w:val="en-US"/>
        </w:rPr>
        <w:lastRenderedPageBreak/>
        <w:t>quantify, and track quality metrics has become the fulcrum for change in the healthcare system</w:t>
      </w:r>
      <w:r w:rsidR="438D6F1C" w:rsidRPr="000B694D">
        <w:rPr>
          <w:rFonts w:ascii="Times New Roman" w:eastAsia="Times New Roman" w:hAnsi="Times New Roman" w:cs="Times New Roman"/>
          <w:sz w:val="24"/>
          <w:szCs w:val="24"/>
          <w:lang w:val="en-US"/>
        </w:rPr>
        <w:t xml:space="preserve"> (Seery, 2022).</w:t>
      </w:r>
    </w:p>
    <w:p w14:paraId="4AF85AD6" w14:textId="54390C13" w:rsidR="00C85EAF" w:rsidRPr="000B694D" w:rsidRDefault="1D46AB52" w:rsidP="007E5459">
      <w:pPr>
        <w:spacing w:after="240" w:line="480" w:lineRule="auto"/>
        <w:ind w:firstLine="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lang w:val="en-US"/>
        </w:rPr>
        <w:t xml:space="preserve">Patient Safety Indicators (PSIs), as defined by the Agency for Healthcare Research and Quality (AHRQ), represent one component of this fulcrum, </w:t>
      </w:r>
      <w:proofErr w:type="gramStart"/>
      <w:r w:rsidRPr="000B694D">
        <w:rPr>
          <w:rFonts w:ascii="Times New Roman" w:eastAsia="Times New Roman" w:hAnsi="Times New Roman" w:cs="Times New Roman"/>
          <w:sz w:val="24"/>
          <w:szCs w:val="24"/>
          <w:lang w:val="en-US"/>
        </w:rPr>
        <w:t>as a means to</w:t>
      </w:r>
      <w:proofErr w:type="gramEnd"/>
      <w:r w:rsidRPr="000B694D">
        <w:rPr>
          <w:rFonts w:ascii="Times New Roman" w:eastAsia="Times New Roman" w:hAnsi="Times New Roman" w:cs="Times New Roman"/>
          <w:sz w:val="24"/>
          <w:szCs w:val="24"/>
          <w:lang w:val="en-US"/>
        </w:rPr>
        <w:t xml:space="preserve"> track clinical outcomes and performance. There </w:t>
      </w:r>
      <w:proofErr w:type="gramStart"/>
      <w:r w:rsidRPr="000B694D">
        <w:rPr>
          <w:rFonts w:ascii="Times New Roman" w:eastAsia="Times New Roman" w:hAnsi="Times New Roman" w:cs="Times New Roman"/>
          <w:sz w:val="24"/>
          <w:szCs w:val="24"/>
          <w:lang w:val="en-US"/>
        </w:rPr>
        <w:t>are</w:t>
      </w:r>
      <w:proofErr w:type="gramEnd"/>
      <w:r w:rsidRPr="000B694D">
        <w:rPr>
          <w:rFonts w:ascii="Times New Roman" w:eastAsia="Times New Roman" w:hAnsi="Times New Roman" w:cs="Times New Roman"/>
          <w:sz w:val="24"/>
          <w:szCs w:val="24"/>
          <w:lang w:val="en-US"/>
        </w:rPr>
        <w:t xml:space="preserve"> a total of 26 PSIs that denote potentially avoidable safety events for patients following surgeries, procedures, and childbirth. This composite includes the PSIs for pressure ulcers, iatrogenic pneumothorax, hospital fall with hip fracture, postoperative hemorrhage or hematoma, postoperative acute kidney injury requiring dialysis, postoperative respiratory failure, postoperative pulmonary embolism (PE) and deep vein thrombosis (DVT), postoperative sepsis, postoperative wound dehiscence, and abdominopelvic accidental puncture and laceration. As suggested by AHRQ, this PSI 90 indicator is intended to be used to monitor performance in national and regional reporting, as well as for comparative reporting and quality improvement at the provider level </w:t>
      </w:r>
      <w:r w:rsidR="02E48FB9" w:rsidRPr="000B694D">
        <w:rPr>
          <w:rFonts w:ascii="Times New Roman" w:eastAsia="Times New Roman" w:hAnsi="Times New Roman" w:cs="Times New Roman"/>
          <w:sz w:val="24"/>
          <w:szCs w:val="24"/>
          <w:lang w:val="en-US"/>
        </w:rPr>
        <w:t xml:space="preserve">(Seery, 2022). </w:t>
      </w:r>
    </w:p>
    <w:p w14:paraId="3DF6D1CE" w14:textId="52E70AA1" w:rsidR="00C85EAF" w:rsidRPr="000B694D" w:rsidRDefault="220EBD02" w:rsidP="007E5459">
      <w:pPr>
        <w:spacing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Socioeconomic factors were found to influence PSI scores, with significant disparities observed across different socioeconomic quartiles (p&lt;0.05). While risk-adjustment methodologies exist, their effectiveness in accounting for patient complexity remains uncertain. Notably, interactions between patient severity and teaching status were only significant for PSI 90 (p&lt;0.05), indicating that current risk adjustment methods may not fully capture hospital-level differences (Cua, 2016).</w:t>
      </w:r>
    </w:p>
    <w:p w14:paraId="58A968EE" w14:textId="6BB37575" w:rsidR="00C85EAF" w:rsidRPr="000B694D" w:rsidRDefault="1D46AB52" w:rsidP="007E5459">
      <w:pPr>
        <w:spacing w:after="240" w:line="480" w:lineRule="auto"/>
        <w:ind w:firstLine="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lang w:val="en-US"/>
        </w:rPr>
        <w:t xml:space="preserve">Traditional methods of analyzing patient safety data often rely on complex statistical models, which can be challenging for healthcare administrators to interpret. Data visualization tools offer a solution by transforming raw data into intuitive graphical representations, allowing </w:t>
      </w:r>
      <w:r w:rsidRPr="000B694D">
        <w:rPr>
          <w:rFonts w:ascii="Times New Roman" w:eastAsia="Times New Roman" w:hAnsi="Times New Roman" w:cs="Times New Roman"/>
          <w:sz w:val="24"/>
          <w:szCs w:val="24"/>
          <w:lang w:val="en-US"/>
        </w:rPr>
        <w:lastRenderedPageBreak/>
        <w:t>stakeholders to identify trends, benchmark hospital performance, and make data-driven decisions.</w:t>
      </w:r>
      <w:r w:rsidR="78B3E44B" w:rsidRPr="000B694D">
        <w:rPr>
          <w:rFonts w:ascii="Times New Roman" w:eastAsia="Times New Roman" w:hAnsi="Times New Roman" w:cs="Times New Roman"/>
          <w:sz w:val="24"/>
          <w:szCs w:val="24"/>
          <w:lang w:val="en-US"/>
        </w:rPr>
        <w:t xml:space="preserve"> </w:t>
      </w:r>
      <w:r w:rsidRPr="000B694D">
        <w:rPr>
          <w:rFonts w:ascii="Times New Roman" w:hAnsi="Times New Roman" w:cs="Times New Roman"/>
          <w:sz w:val="24"/>
          <w:szCs w:val="24"/>
        </w:rPr>
        <w:br/>
      </w:r>
      <w:r w:rsidRPr="000B694D">
        <w:rPr>
          <w:rFonts w:ascii="Times New Roman" w:hAnsi="Times New Roman" w:cs="Times New Roman"/>
          <w:sz w:val="24"/>
          <w:szCs w:val="24"/>
        </w:rPr>
        <w:tab/>
      </w:r>
      <w:r w:rsidR="5A34F6A1" w:rsidRPr="000B694D">
        <w:rPr>
          <w:rFonts w:ascii="Times New Roman" w:eastAsia="Times New Roman" w:hAnsi="Times New Roman" w:cs="Times New Roman"/>
          <w:sz w:val="24"/>
          <w:szCs w:val="24"/>
        </w:rPr>
        <w:t>This section examines three key factors influencing PSI 90 scores—teaching hospital status, nurse staffing/education levels, and billing legal action—and demonstrates how data visualization tools can enhance decision-making to improve patient safety outcomes.</w:t>
      </w:r>
    </w:p>
    <w:p w14:paraId="56D4D909" w14:textId="73354BF7" w:rsidR="00C85EAF" w:rsidRPr="000B694D" w:rsidRDefault="1D46AB52" w:rsidP="0E88A7E2">
      <w:pPr>
        <w:spacing w:before="240" w:after="240" w:line="480" w:lineRule="auto"/>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t xml:space="preserve">Impact of Teaching Hospitals on PSI 90 </w:t>
      </w:r>
      <w:r w:rsidR="33599BF8" w:rsidRPr="000B694D">
        <w:rPr>
          <w:rFonts w:ascii="Times New Roman" w:eastAsia="Times New Roman" w:hAnsi="Times New Roman" w:cs="Times New Roman"/>
          <w:b/>
          <w:bCs/>
          <w:sz w:val="24"/>
          <w:szCs w:val="24"/>
          <w:lang w:val="en-US"/>
        </w:rPr>
        <w:t>scores</w:t>
      </w:r>
      <w:r w:rsidRPr="000B694D">
        <w:rPr>
          <w:rFonts w:ascii="Times New Roman" w:eastAsia="Times New Roman" w:hAnsi="Times New Roman" w:cs="Times New Roman"/>
          <w:b/>
          <w:bCs/>
          <w:sz w:val="24"/>
          <w:szCs w:val="24"/>
          <w:lang w:val="en-US"/>
        </w:rPr>
        <w:t xml:space="preserve">    </w:t>
      </w:r>
    </w:p>
    <w:p w14:paraId="3CB8F500" w14:textId="4ABF5D13" w:rsidR="00C85EAF" w:rsidRPr="000B694D" w:rsidRDefault="1C2EE2BF"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Teaching hospitals, which serve as training grounds for medical residents and often manage more complex cases, tend to exhibit higher PSI 90 scores compared to non-teaching hospitals (Victoria et al., 2022)</w:t>
      </w:r>
      <w:r w:rsidR="57A684DE" w:rsidRPr="000B694D">
        <w:rPr>
          <w:rFonts w:ascii="Times New Roman" w:eastAsia="Times New Roman" w:hAnsi="Times New Roman" w:cs="Times New Roman"/>
          <w:sz w:val="24"/>
          <w:szCs w:val="24"/>
          <w:lang w:val="en-US"/>
        </w:rPr>
        <w:t xml:space="preserve"> </w:t>
      </w:r>
      <w:r w:rsidR="74FE2942" w:rsidRPr="000B694D">
        <w:rPr>
          <w:rFonts w:ascii="Times New Roman" w:eastAsia="Times New Roman" w:hAnsi="Times New Roman" w:cs="Times New Roman"/>
          <w:sz w:val="24"/>
          <w:szCs w:val="24"/>
          <w:lang w:val="en-US"/>
        </w:rPr>
        <w:t>(see Figure 3)</w:t>
      </w:r>
      <w:r w:rsidRPr="000B694D">
        <w:rPr>
          <w:rFonts w:ascii="Times New Roman" w:eastAsia="Times New Roman" w:hAnsi="Times New Roman" w:cs="Times New Roman"/>
          <w:sz w:val="24"/>
          <w:szCs w:val="24"/>
          <w:lang w:val="en-US"/>
        </w:rPr>
        <w:t>. This trend is attributed to the increased risk profile of patients, greater procedural complexity, and the learning curve associated with resident involvement in care</w:t>
      </w:r>
      <w:r w:rsidRPr="000B694D">
        <w:rPr>
          <w:rFonts w:ascii="Times New Roman" w:eastAsia="Times New Roman" w:hAnsi="Times New Roman" w:cs="Times New Roman"/>
          <w:color w:val="000000" w:themeColor="text1"/>
          <w:sz w:val="24"/>
          <w:szCs w:val="24"/>
          <w:lang w:val="en-US"/>
        </w:rPr>
        <w:t xml:space="preserve"> (Zrelak et al., 2022)</w:t>
      </w:r>
      <w:r w:rsidRPr="000B694D">
        <w:rPr>
          <w:rFonts w:ascii="Times New Roman" w:eastAsia="Times New Roman" w:hAnsi="Times New Roman" w:cs="Times New Roman"/>
          <w:sz w:val="24"/>
          <w:szCs w:val="24"/>
          <w:lang w:val="en-US"/>
        </w:rPr>
        <w:t xml:space="preserve">. For example, Victoria et al. (2022) found that teaching hospitals had a 12% higher composite PSI 90 score than non-teaching facilities, with elevated rates of complications such as postoperative respiratory failure and iatrogenic pneumothorax. Furthermore, </w:t>
      </w:r>
      <w:proofErr w:type="spellStart"/>
      <w:r w:rsidRPr="000B694D">
        <w:rPr>
          <w:rFonts w:ascii="Times New Roman" w:eastAsia="Times New Roman" w:hAnsi="Times New Roman" w:cs="Times New Roman"/>
          <w:sz w:val="24"/>
          <w:szCs w:val="24"/>
          <w:lang w:val="en-US"/>
        </w:rPr>
        <w:t>Enumah</w:t>
      </w:r>
      <w:proofErr w:type="spellEnd"/>
      <w:r w:rsidRPr="000B694D">
        <w:rPr>
          <w:rFonts w:ascii="Times New Roman" w:eastAsia="Times New Roman" w:hAnsi="Times New Roman" w:cs="Times New Roman"/>
          <w:sz w:val="24"/>
          <w:szCs w:val="24"/>
          <w:lang w:val="en-US"/>
        </w:rPr>
        <w:t xml:space="preserve"> et al. (2022) reported that hospitals with higher PSI 90 scores experienced lower operating margins, highlighting the financial implications of patient safety performance.</w:t>
      </w:r>
    </w:p>
    <w:p w14:paraId="33EADDAE" w14:textId="19E8A97E" w:rsidR="00C85EAF" w:rsidRPr="000B694D" w:rsidRDefault="224EC6B7"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Recent research reinforces that PSI 90 scores are disproportionately higher in teaching hospitals compared to non-teaching institutions. A study found significant differences (p&lt;0.01) between teaching and non-teaching hospitals in PSI 6, 12, 15, and 90 scores, suggesting that teaching hospitals may be unfairly penalized in reimbursement models (Cua, 2016). Higher patient severity and inpatient volume—factors commonly seen in teaching hospitals—were also significantly associated with PSI variations, further complicating the interpretation of these scores.</w:t>
      </w:r>
    </w:p>
    <w:p w14:paraId="41870825" w14:textId="0A084496" w:rsidR="00BE146F" w:rsidRPr="00BE146F" w:rsidRDefault="00BE146F" w:rsidP="00BE146F">
      <w:pPr>
        <w:pStyle w:val="Caption"/>
        <w:keepNext/>
        <w:jc w:val="center"/>
        <w:rPr>
          <w:rFonts w:ascii="Times New Roman" w:hAnsi="Times New Roman" w:cs="Times New Roman"/>
          <w:i w:val="0"/>
          <w:iCs w:val="0"/>
          <w:color w:val="auto"/>
          <w:sz w:val="22"/>
          <w:szCs w:val="22"/>
        </w:rPr>
      </w:pPr>
      <w:r w:rsidRPr="00BE146F">
        <w:rPr>
          <w:rFonts w:ascii="Times New Roman" w:hAnsi="Times New Roman" w:cs="Times New Roman"/>
          <w:i w:val="0"/>
          <w:iCs w:val="0"/>
          <w:color w:val="auto"/>
          <w:sz w:val="22"/>
          <w:szCs w:val="22"/>
        </w:rPr>
        <w:lastRenderedPageBreak/>
        <w:t xml:space="preserve">Figure </w:t>
      </w:r>
      <w:r w:rsidRPr="00BE146F">
        <w:rPr>
          <w:rFonts w:ascii="Times New Roman" w:hAnsi="Times New Roman" w:cs="Times New Roman"/>
          <w:i w:val="0"/>
          <w:iCs w:val="0"/>
          <w:color w:val="auto"/>
          <w:sz w:val="22"/>
          <w:szCs w:val="22"/>
        </w:rPr>
        <w:fldChar w:fldCharType="begin"/>
      </w:r>
      <w:r w:rsidRPr="00BE146F">
        <w:rPr>
          <w:rFonts w:ascii="Times New Roman" w:hAnsi="Times New Roman" w:cs="Times New Roman"/>
          <w:i w:val="0"/>
          <w:iCs w:val="0"/>
          <w:color w:val="auto"/>
          <w:sz w:val="22"/>
          <w:szCs w:val="22"/>
        </w:rPr>
        <w:instrText xml:space="preserve"> SEQ Figure \* ARABIC </w:instrText>
      </w:r>
      <w:r w:rsidRPr="00BE146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BE146F">
        <w:rPr>
          <w:rFonts w:ascii="Times New Roman" w:hAnsi="Times New Roman" w:cs="Times New Roman"/>
          <w:i w:val="0"/>
          <w:iCs w:val="0"/>
          <w:color w:val="auto"/>
          <w:sz w:val="22"/>
          <w:szCs w:val="22"/>
        </w:rPr>
        <w:fldChar w:fldCharType="end"/>
      </w:r>
    </w:p>
    <w:p w14:paraId="016630FD" w14:textId="1C1A1E9B" w:rsidR="00C85EAF" w:rsidRPr="000B694D" w:rsidRDefault="784B8D98" w:rsidP="0E88A7E2">
      <w:pPr>
        <w:pStyle w:val="Caption"/>
        <w:spacing w:before="240" w:after="240" w:line="480" w:lineRule="auto"/>
        <w:jc w:val="both"/>
        <w:rPr>
          <w:rFonts w:ascii="Times New Roman" w:eastAsia="Times New Roman" w:hAnsi="Times New Roman" w:cs="Times New Roman"/>
          <w:sz w:val="24"/>
          <w:szCs w:val="24"/>
          <w:lang w:val="en-US"/>
        </w:rPr>
      </w:pPr>
      <w:r w:rsidRPr="000B694D">
        <w:rPr>
          <w:rFonts w:ascii="Times New Roman" w:hAnsi="Times New Roman" w:cs="Times New Roman"/>
          <w:noProof/>
          <w:sz w:val="24"/>
          <w:szCs w:val="24"/>
        </w:rPr>
        <w:drawing>
          <wp:inline distT="0" distB="0" distL="0" distR="0" wp14:anchorId="299AC146" wp14:editId="008E712F">
            <wp:extent cx="5943600" cy="2447925"/>
            <wp:effectExtent l="0" t="0" r="0" b="0"/>
            <wp:docPr id="110971865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7799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2B18F7C9" w14:textId="5E950C56" w:rsidR="00C85EAF" w:rsidRPr="000B694D" w:rsidRDefault="29BAEA67"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Given these concerns, data visualizations can play a crucial role in patient safety monitoring by providing more nuanced, real-time insights into adverse event patterns. Interactive dashboards that incorporate risk-adjusted PSI metrics, patient demographics, and hospital characteristics can help identify true patient safety trends rather than penalizing hospitals based on raw PSI scores. Additionally, visual tools that highlight disparities across teaching and non-teaching hospitals can support evidence-based policy changes, ensuring that patient safety initiatives are informed by accurate, contextualized data rather than broad, potentially biased metrics.</w:t>
      </w:r>
    </w:p>
    <w:p w14:paraId="08311FC0" w14:textId="2067F527" w:rsidR="00C85EAF" w:rsidRPr="000B694D" w:rsidRDefault="1C2EE2BF" w:rsidP="0E88A7E2">
      <w:pPr>
        <w:spacing w:before="240" w:after="240" w:line="480" w:lineRule="auto"/>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t xml:space="preserve">PSI </w:t>
      </w:r>
      <w:proofErr w:type="gramStart"/>
      <w:r w:rsidRPr="000B694D">
        <w:rPr>
          <w:rFonts w:ascii="Times New Roman" w:eastAsia="Times New Roman" w:hAnsi="Times New Roman" w:cs="Times New Roman"/>
          <w:b/>
          <w:bCs/>
          <w:sz w:val="24"/>
          <w:szCs w:val="24"/>
          <w:lang w:val="en-US"/>
        </w:rPr>
        <w:t xml:space="preserve">90 </w:t>
      </w:r>
      <w:r w:rsidR="75C253DD" w:rsidRPr="000B694D">
        <w:rPr>
          <w:rFonts w:ascii="Times New Roman" w:eastAsia="Times New Roman" w:hAnsi="Times New Roman" w:cs="Times New Roman"/>
          <w:b/>
          <w:bCs/>
          <w:sz w:val="24"/>
          <w:szCs w:val="24"/>
          <w:lang w:val="en-US"/>
        </w:rPr>
        <w:t>scores</w:t>
      </w:r>
      <w:proofErr w:type="gramEnd"/>
      <w:r w:rsidRPr="000B694D">
        <w:rPr>
          <w:rFonts w:ascii="Times New Roman" w:eastAsia="Times New Roman" w:hAnsi="Times New Roman" w:cs="Times New Roman"/>
          <w:b/>
          <w:bCs/>
          <w:sz w:val="24"/>
          <w:szCs w:val="24"/>
          <w:lang w:val="en-US"/>
        </w:rPr>
        <w:t xml:space="preserve"> and Their Association with Billing Legal Action</w:t>
      </w:r>
    </w:p>
    <w:p w14:paraId="4C7EB630" w14:textId="51B8BEF2" w:rsidR="00C85EAF" w:rsidRPr="000B694D" w:rsidRDefault="1C2EE2BF"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Research suggests that states with higher PSI 90 scores also tend to have higher cases where billing legal action is not pursued by hospitals (Murphy et al., 2021). This pattern raises critical questions about how patient safety indicators interact with hospital decision-making regarding legal and financial matters.</w:t>
      </w:r>
    </w:p>
    <w:p w14:paraId="21D7E638" w14:textId="0567E680" w:rsidR="00C85EAF" w:rsidRPr="000B694D" w:rsidRDefault="1C2EE2BF"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lastRenderedPageBreak/>
        <w:t>There are two primary hypotheses for why hospitals in states with higher PSI 90 scores may be less likely to take legal action on billing disputes</w:t>
      </w:r>
      <w:r w:rsidR="5C507D8D" w:rsidRPr="000B694D">
        <w:rPr>
          <w:rFonts w:ascii="Times New Roman" w:eastAsia="Times New Roman" w:hAnsi="Times New Roman" w:cs="Times New Roman"/>
          <w:sz w:val="24"/>
          <w:szCs w:val="24"/>
          <w:lang w:val="en-US"/>
        </w:rPr>
        <w:t>. The first hypothesis could be a</w:t>
      </w:r>
      <w:r w:rsidRPr="000B694D">
        <w:rPr>
          <w:rFonts w:ascii="Times New Roman" w:eastAsia="Times New Roman" w:hAnsi="Times New Roman" w:cs="Times New Roman"/>
          <w:sz w:val="24"/>
          <w:szCs w:val="24"/>
          <w:lang w:val="en-US"/>
        </w:rPr>
        <w:t xml:space="preserve">voiding </w:t>
      </w:r>
      <w:r w:rsidR="2B5AE41D" w:rsidRPr="000B694D">
        <w:rPr>
          <w:rFonts w:ascii="Times New Roman" w:eastAsia="Times New Roman" w:hAnsi="Times New Roman" w:cs="Times New Roman"/>
          <w:sz w:val="24"/>
          <w:szCs w:val="24"/>
          <w:lang w:val="en-US"/>
        </w:rPr>
        <w:t>l</w:t>
      </w:r>
      <w:r w:rsidRPr="000B694D">
        <w:rPr>
          <w:rFonts w:ascii="Times New Roman" w:eastAsia="Times New Roman" w:hAnsi="Times New Roman" w:cs="Times New Roman"/>
          <w:sz w:val="24"/>
          <w:szCs w:val="24"/>
          <w:lang w:val="en-US"/>
        </w:rPr>
        <w:t xml:space="preserve">itigation </w:t>
      </w:r>
      <w:r w:rsidR="2A8265D2" w:rsidRPr="000B694D">
        <w:rPr>
          <w:rFonts w:ascii="Times New Roman" w:eastAsia="Times New Roman" w:hAnsi="Times New Roman" w:cs="Times New Roman"/>
          <w:sz w:val="24"/>
          <w:szCs w:val="24"/>
          <w:lang w:val="en-US"/>
        </w:rPr>
        <w:t>r</w:t>
      </w:r>
      <w:r w:rsidRPr="000B694D">
        <w:rPr>
          <w:rFonts w:ascii="Times New Roman" w:eastAsia="Times New Roman" w:hAnsi="Times New Roman" w:cs="Times New Roman"/>
          <w:sz w:val="24"/>
          <w:szCs w:val="24"/>
          <w:lang w:val="en-US"/>
        </w:rPr>
        <w:t xml:space="preserve">isks </w:t>
      </w:r>
      <w:r w:rsidR="18121311" w:rsidRPr="000B694D">
        <w:rPr>
          <w:rFonts w:ascii="Times New Roman" w:eastAsia="Times New Roman" w:hAnsi="Times New Roman" w:cs="Times New Roman"/>
          <w:sz w:val="24"/>
          <w:szCs w:val="24"/>
          <w:lang w:val="en-US"/>
        </w:rPr>
        <w:t>d</w:t>
      </w:r>
      <w:r w:rsidRPr="000B694D">
        <w:rPr>
          <w:rFonts w:ascii="Times New Roman" w:eastAsia="Times New Roman" w:hAnsi="Times New Roman" w:cs="Times New Roman"/>
          <w:sz w:val="24"/>
          <w:szCs w:val="24"/>
          <w:lang w:val="en-US"/>
        </w:rPr>
        <w:t xml:space="preserve">ue to </w:t>
      </w:r>
      <w:r w:rsidR="14F60345" w:rsidRPr="000B694D">
        <w:rPr>
          <w:rFonts w:ascii="Times New Roman" w:eastAsia="Times New Roman" w:hAnsi="Times New Roman" w:cs="Times New Roman"/>
          <w:sz w:val="24"/>
          <w:szCs w:val="24"/>
          <w:lang w:val="en-US"/>
        </w:rPr>
        <w:t>s</w:t>
      </w:r>
      <w:r w:rsidRPr="000B694D">
        <w:rPr>
          <w:rFonts w:ascii="Times New Roman" w:eastAsia="Times New Roman" w:hAnsi="Times New Roman" w:cs="Times New Roman"/>
          <w:sz w:val="24"/>
          <w:szCs w:val="24"/>
          <w:lang w:val="en-US"/>
        </w:rPr>
        <w:t xml:space="preserve">urgical </w:t>
      </w:r>
      <w:r w:rsidR="3B49DCA9" w:rsidRPr="000B694D">
        <w:rPr>
          <w:rFonts w:ascii="Times New Roman" w:eastAsia="Times New Roman" w:hAnsi="Times New Roman" w:cs="Times New Roman"/>
          <w:sz w:val="24"/>
          <w:szCs w:val="24"/>
          <w:lang w:val="en-US"/>
        </w:rPr>
        <w:t>e</w:t>
      </w:r>
      <w:r w:rsidRPr="000B694D">
        <w:rPr>
          <w:rFonts w:ascii="Times New Roman" w:eastAsia="Times New Roman" w:hAnsi="Times New Roman" w:cs="Times New Roman"/>
          <w:sz w:val="24"/>
          <w:szCs w:val="24"/>
          <w:lang w:val="en-US"/>
        </w:rPr>
        <w:t>rrors</w:t>
      </w:r>
      <w:r w:rsidR="7F93037C" w:rsidRPr="000B694D">
        <w:rPr>
          <w:rFonts w:ascii="Times New Roman" w:eastAsia="Times New Roman" w:hAnsi="Times New Roman" w:cs="Times New Roman"/>
          <w:sz w:val="24"/>
          <w:szCs w:val="24"/>
          <w:lang w:val="en-US"/>
        </w:rPr>
        <w:t>.</w:t>
      </w:r>
      <w:r w:rsidRPr="000B694D">
        <w:rPr>
          <w:rFonts w:ascii="Times New Roman" w:eastAsia="Times New Roman" w:hAnsi="Times New Roman" w:cs="Times New Roman"/>
          <w:sz w:val="24"/>
          <w:szCs w:val="24"/>
          <w:lang w:val="en-US"/>
        </w:rPr>
        <w:t xml:space="preserve"> Since surgical errors and patient safety incidents contribute to patient dissatisfaction, hospitals with high PSI 90 scores may be more vulnerable to malpractice lawsuits. To mitigate this risk, hospitals might strategically choose not to pursue legal billing action, fearing that aggressive collection efforts could escalate disputes and lead to further scrutiny or lawsuits (</w:t>
      </w:r>
      <w:proofErr w:type="spellStart"/>
      <w:r w:rsidRPr="000B694D">
        <w:rPr>
          <w:rFonts w:ascii="Times New Roman" w:eastAsia="Times New Roman" w:hAnsi="Times New Roman" w:cs="Times New Roman"/>
          <w:sz w:val="24"/>
          <w:szCs w:val="24"/>
          <w:lang w:val="en-US"/>
        </w:rPr>
        <w:t>Kachalia</w:t>
      </w:r>
      <w:proofErr w:type="spellEnd"/>
      <w:r w:rsidRPr="000B694D">
        <w:rPr>
          <w:rFonts w:ascii="Times New Roman" w:eastAsia="Times New Roman" w:hAnsi="Times New Roman" w:cs="Times New Roman"/>
          <w:sz w:val="24"/>
          <w:szCs w:val="24"/>
          <w:lang w:val="en-US"/>
        </w:rPr>
        <w:t xml:space="preserve"> et al., 2016).</w:t>
      </w:r>
    </w:p>
    <w:p w14:paraId="4D7FB453" w14:textId="7E1BACAD" w:rsidR="00C85EAF" w:rsidRPr="000B694D" w:rsidRDefault="4CD95943"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The second hypothesis could be regarding r</w:t>
      </w:r>
      <w:r w:rsidR="1C2EE2BF" w:rsidRPr="000B694D">
        <w:rPr>
          <w:rFonts w:ascii="Times New Roman" w:eastAsia="Times New Roman" w:hAnsi="Times New Roman" w:cs="Times New Roman"/>
          <w:sz w:val="24"/>
          <w:szCs w:val="24"/>
          <w:lang w:val="en-US"/>
        </w:rPr>
        <w:t xml:space="preserve">egulatory </w:t>
      </w:r>
      <w:r w:rsidR="7AF4C4B2" w:rsidRPr="000B694D">
        <w:rPr>
          <w:rFonts w:ascii="Times New Roman" w:eastAsia="Times New Roman" w:hAnsi="Times New Roman" w:cs="Times New Roman"/>
          <w:sz w:val="24"/>
          <w:szCs w:val="24"/>
          <w:lang w:val="en-US"/>
        </w:rPr>
        <w:t>s</w:t>
      </w:r>
      <w:r w:rsidR="1C2EE2BF" w:rsidRPr="000B694D">
        <w:rPr>
          <w:rFonts w:ascii="Times New Roman" w:eastAsia="Times New Roman" w:hAnsi="Times New Roman" w:cs="Times New Roman"/>
          <w:sz w:val="24"/>
          <w:szCs w:val="24"/>
          <w:lang w:val="en-US"/>
        </w:rPr>
        <w:t xml:space="preserve">crutiny and </w:t>
      </w:r>
      <w:r w:rsidR="48D19CDD" w:rsidRPr="000B694D">
        <w:rPr>
          <w:rFonts w:ascii="Times New Roman" w:eastAsia="Times New Roman" w:hAnsi="Times New Roman" w:cs="Times New Roman"/>
          <w:sz w:val="24"/>
          <w:szCs w:val="24"/>
          <w:lang w:val="en-US"/>
        </w:rPr>
        <w:t>s</w:t>
      </w:r>
      <w:r w:rsidR="1C2EE2BF" w:rsidRPr="000B694D">
        <w:rPr>
          <w:rFonts w:ascii="Times New Roman" w:eastAsia="Times New Roman" w:hAnsi="Times New Roman" w:cs="Times New Roman"/>
          <w:sz w:val="24"/>
          <w:szCs w:val="24"/>
          <w:lang w:val="en-US"/>
        </w:rPr>
        <w:t xml:space="preserve">trategic </w:t>
      </w:r>
      <w:r w:rsidR="3388C233" w:rsidRPr="000B694D">
        <w:rPr>
          <w:rFonts w:ascii="Times New Roman" w:eastAsia="Times New Roman" w:hAnsi="Times New Roman" w:cs="Times New Roman"/>
          <w:sz w:val="24"/>
          <w:szCs w:val="24"/>
          <w:lang w:val="en-US"/>
        </w:rPr>
        <w:t>r</w:t>
      </w:r>
      <w:r w:rsidR="1C2EE2BF" w:rsidRPr="000B694D">
        <w:rPr>
          <w:rFonts w:ascii="Times New Roman" w:eastAsia="Times New Roman" w:hAnsi="Times New Roman" w:cs="Times New Roman"/>
          <w:sz w:val="24"/>
          <w:szCs w:val="24"/>
          <w:lang w:val="en-US"/>
        </w:rPr>
        <w:t xml:space="preserve">isk </w:t>
      </w:r>
      <w:r w:rsidR="552031CF" w:rsidRPr="000B694D">
        <w:rPr>
          <w:rFonts w:ascii="Times New Roman" w:eastAsia="Times New Roman" w:hAnsi="Times New Roman" w:cs="Times New Roman"/>
          <w:sz w:val="24"/>
          <w:szCs w:val="24"/>
          <w:lang w:val="en-US"/>
        </w:rPr>
        <w:t>a</w:t>
      </w:r>
      <w:r w:rsidR="1C2EE2BF" w:rsidRPr="000B694D">
        <w:rPr>
          <w:rFonts w:ascii="Times New Roman" w:eastAsia="Times New Roman" w:hAnsi="Times New Roman" w:cs="Times New Roman"/>
          <w:sz w:val="24"/>
          <w:szCs w:val="24"/>
          <w:lang w:val="en-US"/>
        </w:rPr>
        <w:t>voidance</w:t>
      </w:r>
      <w:r w:rsidR="114F06C4" w:rsidRPr="000B694D">
        <w:rPr>
          <w:rFonts w:ascii="Times New Roman" w:eastAsia="Times New Roman" w:hAnsi="Times New Roman" w:cs="Times New Roman"/>
          <w:sz w:val="24"/>
          <w:szCs w:val="24"/>
          <w:lang w:val="en-US"/>
        </w:rPr>
        <w:t>.</w:t>
      </w:r>
      <w:r w:rsidR="1C2EE2BF" w:rsidRPr="000B694D">
        <w:rPr>
          <w:rFonts w:ascii="Times New Roman" w:eastAsia="Times New Roman" w:hAnsi="Times New Roman" w:cs="Times New Roman"/>
          <w:sz w:val="24"/>
          <w:szCs w:val="24"/>
          <w:lang w:val="en-US"/>
        </w:rPr>
        <w:t xml:space="preserve"> Facilities with high PSI 90 scores could also be under heightened regulatory scrutiny, making them more cautious about pursuing legal action. Hospitals might fear that escalating billing disputes could invite further investigation, leading them to abandon legal collection efforts </w:t>
      </w:r>
      <w:proofErr w:type="gramStart"/>
      <w:r w:rsidR="1C2EE2BF" w:rsidRPr="000B694D">
        <w:rPr>
          <w:rFonts w:ascii="Times New Roman" w:eastAsia="Times New Roman" w:hAnsi="Times New Roman" w:cs="Times New Roman"/>
          <w:sz w:val="24"/>
          <w:szCs w:val="24"/>
          <w:lang w:val="en-US"/>
        </w:rPr>
        <w:t>in an attempt to</w:t>
      </w:r>
      <w:proofErr w:type="gramEnd"/>
      <w:r w:rsidR="1C2EE2BF" w:rsidRPr="000B694D">
        <w:rPr>
          <w:rFonts w:ascii="Times New Roman" w:eastAsia="Times New Roman" w:hAnsi="Times New Roman" w:cs="Times New Roman"/>
          <w:sz w:val="24"/>
          <w:szCs w:val="24"/>
          <w:lang w:val="en-US"/>
        </w:rPr>
        <w:t xml:space="preserve"> avoid regulatory penalties or additional oversight.</w:t>
      </w:r>
    </w:p>
    <w:p w14:paraId="20887416" w14:textId="5BDD4717" w:rsidR="00C85EAF" w:rsidRPr="000B694D" w:rsidRDefault="3E274CF3"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The relationship between PSI 90 scores and trends in legal action underscores the complex interplay between patient safety outcomes, hospital administrative decision-making, and financial risk management (</w:t>
      </w:r>
      <w:proofErr w:type="spellStart"/>
      <w:r w:rsidRPr="000B694D">
        <w:rPr>
          <w:rFonts w:ascii="Times New Roman" w:eastAsia="Times New Roman" w:hAnsi="Times New Roman" w:cs="Times New Roman"/>
          <w:sz w:val="24"/>
          <w:szCs w:val="24"/>
          <w:lang w:val="en-US"/>
        </w:rPr>
        <w:t>Turchioe</w:t>
      </w:r>
      <w:proofErr w:type="spellEnd"/>
      <w:r w:rsidRPr="000B694D">
        <w:rPr>
          <w:rFonts w:ascii="Times New Roman" w:eastAsia="Times New Roman" w:hAnsi="Times New Roman" w:cs="Times New Roman"/>
          <w:sz w:val="24"/>
          <w:szCs w:val="24"/>
          <w:lang w:val="en-US"/>
        </w:rPr>
        <w:t xml:space="preserve"> et al., 2019). In states with the highest PSI 90 scores, a noticeable reluctance among hospitals to pursue legal action may suggest an institutional tendency to avoid litigation as a means of minimizing exposure and liability</w:t>
      </w:r>
      <w:r w:rsidR="1901878A" w:rsidRPr="000B694D">
        <w:rPr>
          <w:rFonts w:ascii="Times New Roman" w:eastAsia="Times New Roman" w:hAnsi="Times New Roman" w:cs="Times New Roman"/>
          <w:sz w:val="24"/>
          <w:szCs w:val="24"/>
          <w:lang w:val="en-US"/>
        </w:rPr>
        <w:t xml:space="preserve"> </w:t>
      </w:r>
      <w:r w:rsidR="2E469E01" w:rsidRPr="000B694D">
        <w:rPr>
          <w:rFonts w:ascii="Times New Roman" w:eastAsia="Times New Roman" w:hAnsi="Times New Roman" w:cs="Times New Roman"/>
          <w:sz w:val="24"/>
          <w:szCs w:val="24"/>
          <w:lang w:val="en-US"/>
        </w:rPr>
        <w:t>(see Figure 4)</w:t>
      </w:r>
      <w:r w:rsidRPr="000B694D">
        <w:rPr>
          <w:rFonts w:ascii="Times New Roman" w:eastAsia="Times New Roman" w:hAnsi="Times New Roman" w:cs="Times New Roman"/>
          <w:sz w:val="24"/>
          <w:szCs w:val="24"/>
          <w:lang w:val="en-US"/>
        </w:rPr>
        <w:t xml:space="preserve">. This avoidance behavior could reflect deeper systemic issues, such as fear-driven decision-making that prioritizes risk mitigation over substantive improvements in patient safety practices. Furthermore, disparities in access to legal and financial resources may influence how hospitals navigate medical errors and billing disputes, potentially exacerbating inequities in patient care and institutional accountability. These dynamics highlight the urgent need for advanced data visualization tools that can integrate PSI metrics with hospital financial and legal data. Such </w:t>
      </w:r>
      <w:r w:rsidRPr="000B694D">
        <w:rPr>
          <w:rFonts w:ascii="Times New Roman" w:eastAsia="Times New Roman" w:hAnsi="Times New Roman" w:cs="Times New Roman"/>
          <w:sz w:val="24"/>
          <w:szCs w:val="24"/>
          <w:lang w:val="en-US"/>
        </w:rPr>
        <w:lastRenderedPageBreak/>
        <w:t xml:space="preserve">tools would enable stakeholders to identify and interpret hidden patterns, fostering a more comprehensive understanding of how safety, resource allocation, and legal strategies </w:t>
      </w:r>
      <w:proofErr w:type="gramStart"/>
      <w:r w:rsidRPr="000B694D">
        <w:rPr>
          <w:rFonts w:ascii="Times New Roman" w:eastAsia="Times New Roman" w:hAnsi="Times New Roman" w:cs="Times New Roman"/>
          <w:sz w:val="24"/>
          <w:szCs w:val="24"/>
          <w:lang w:val="en-US"/>
        </w:rPr>
        <w:t>intersect</w:t>
      </w:r>
      <w:proofErr w:type="gramEnd"/>
      <w:r w:rsidRPr="000B694D">
        <w:rPr>
          <w:rFonts w:ascii="Times New Roman" w:eastAsia="Times New Roman" w:hAnsi="Times New Roman" w:cs="Times New Roman"/>
          <w:sz w:val="24"/>
          <w:szCs w:val="24"/>
          <w:lang w:val="en-US"/>
        </w:rPr>
        <w:t xml:space="preserve"> within the healthcare system.</w:t>
      </w:r>
    </w:p>
    <w:p w14:paraId="00FB88DD" w14:textId="7E58FF5B" w:rsidR="00BE146F" w:rsidRPr="00BE146F" w:rsidRDefault="00BE146F" w:rsidP="00BE146F">
      <w:pPr>
        <w:pStyle w:val="Caption"/>
        <w:keepNext/>
        <w:jc w:val="center"/>
        <w:rPr>
          <w:rFonts w:ascii="Times New Roman" w:hAnsi="Times New Roman" w:cs="Times New Roman"/>
          <w:i w:val="0"/>
          <w:iCs w:val="0"/>
          <w:color w:val="auto"/>
          <w:sz w:val="22"/>
          <w:szCs w:val="22"/>
        </w:rPr>
      </w:pPr>
      <w:r w:rsidRPr="00BE146F">
        <w:rPr>
          <w:rFonts w:ascii="Times New Roman" w:hAnsi="Times New Roman" w:cs="Times New Roman"/>
          <w:i w:val="0"/>
          <w:iCs w:val="0"/>
          <w:color w:val="auto"/>
          <w:sz w:val="22"/>
          <w:szCs w:val="22"/>
        </w:rPr>
        <w:t xml:space="preserve">Figure </w:t>
      </w:r>
      <w:r w:rsidRPr="00BE146F">
        <w:rPr>
          <w:rFonts w:ascii="Times New Roman" w:hAnsi="Times New Roman" w:cs="Times New Roman"/>
          <w:i w:val="0"/>
          <w:iCs w:val="0"/>
          <w:color w:val="auto"/>
          <w:sz w:val="22"/>
          <w:szCs w:val="22"/>
        </w:rPr>
        <w:fldChar w:fldCharType="begin"/>
      </w:r>
      <w:r w:rsidRPr="00BE146F">
        <w:rPr>
          <w:rFonts w:ascii="Times New Roman" w:hAnsi="Times New Roman" w:cs="Times New Roman"/>
          <w:i w:val="0"/>
          <w:iCs w:val="0"/>
          <w:color w:val="auto"/>
          <w:sz w:val="22"/>
          <w:szCs w:val="22"/>
        </w:rPr>
        <w:instrText xml:space="preserve"> SEQ Figure \* ARABIC </w:instrText>
      </w:r>
      <w:r w:rsidRPr="00BE146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4</w:t>
      </w:r>
      <w:r w:rsidRPr="00BE146F">
        <w:rPr>
          <w:rFonts w:ascii="Times New Roman" w:hAnsi="Times New Roman" w:cs="Times New Roman"/>
          <w:i w:val="0"/>
          <w:iCs w:val="0"/>
          <w:color w:val="auto"/>
          <w:sz w:val="22"/>
          <w:szCs w:val="22"/>
        </w:rPr>
        <w:fldChar w:fldCharType="end"/>
      </w:r>
    </w:p>
    <w:p w14:paraId="64D0E860" w14:textId="3CC13AC6" w:rsidR="00C85EAF" w:rsidRPr="000B694D" w:rsidRDefault="7159AD6B" w:rsidP="007E5459">
      <w:pPr>
        <w:spacing w:before="240" w:after="240" w:line="480" w:lineRule="auto"/>
        <w:rPr>
          <w:rFonts w:ascii="Times New Roman" w:eastAsia="Times New Roman" w:hAnsi="Times New Roman" w:cs="Times New Roman"/>
          <w:sz w:val="24"/>
          <w:szCs w:val="24"/>
          <w:lang w:val="en-US"/>
        </w:rPr>
      </w:pPr>
      <w:r w:rsidRPr="000B694D">
        <w:rPr>
          <w:rFonts w:ascii="Times New Roman" w:hAnsi="Times New Roman" w:cs="Times New Roman"/>
          <w:noProof/>
          <w:sz w:val="24"/>
          <w:szCs w:val="24"/>
        </w:rPr>
        <w:drawing>
          <wp:inline distT="0" distB="0" distL="0" distR="0" wp14:anchorId="1E5542E1" wp14:editId="09403DC5">
            <wp:extent cx="5943600" cy="2447925"/>
            <wp:effectExtent l="0" t="0" r="0" b="0"/>
            <wp:docPr id="8766623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2119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r w:rsidRPr="000B694D">
        <w:rPr>
          <w:rFonts w:ascii="Times New Roman" w:hAnsi="Times New Roman" w:cs="Times New Roman"/>
          <w:sz w:val="24"/>
          <w:szCs w:val="24"/>
        </w:rPr>
        <w:tab/>
      </w:r>
      <w:r w:rsidR="1C2EE2BF" w:rsidRPr="000B694D">
        <w:rPr>
          <w:rFonts w:ascii="Times New Roman" w:eastAsia="Times New Roman" w:hAnsi="Times New Roman" w:cs="Times New Roman"/>
          <w:sz w:val="24"/>
          <w:szCs w:val="24"/>
          <w:lang w:val="en-US"/>
        </w:rPr>
        <w:t xml:space="preserve">An additional finding was that two-thirds of the five states with the highest PSI 90 scores also rank among the poorest states in the U.S (Davy &amp; </w:t>
      </w:r>
      <w:proofErr w:type="spellStart"/>
      <w:r w:rsidR="1C2EE2BF" w:rsidRPr="000B694D">
        <w:rPr>
          <w:rFonts w:ascii="Times New Roman" w:eastAsia="Times New Roman" w:hAnsi="Times New Roman" w:cs="Times New Roman"/>
          <w:sz w:val="24"/>
          <w:szCs w:val="24"/>
          <w:lang w:val="en-US"/>
        </w:rPr>
        <w:t>Borycki</w:t>
      </w:r>
      <w:proofErr w:type="spellEnd"/>
      <w:r w:rsidR="1C2EE2BF" w:rsidRPr="000B694D">
        <w:rPr>
          <w:rFonts w:ascii="Times New Roman" w:eastAsia="Times New Roman" w:hAnsi="Times New Roman" w:cs="Times New Roman"/>
          <w:sz w:val="24"/>
          <w:szCs w:val="24"/>
          <w:lang w:val="en-US"/>
        </w:rPr>
        <w:t>, 2022). This suggests that limited infrastructure and financial constraints may play a role in how hospitals handle legal challenges. Poorer states may lack the resources to engage in prolonged legal battles, further contributing to hospitals’ reluctance to pursue billing legal action.</w:t>
      </w:r>
    </w:p>
    <w:p w14:paraId="6E7D9B4B" w14:textId="282BA959" w:rsidR="00C85EAF" w:rsidRPr="000B694D" w:rsidRDefault="1C2EE2BF"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These observations were statistically validated using the Wilcoxon rank sum test, which confirmed a significant association between higher PSI 90 scores and lower rates of hospitals pursuing billing legal action (Chen et al., 2016). This reinforces the hypothesis that hospitals facing higher patient safety risks may also be making strategic financial and legal decisions to protect themselves from additional liabilities.</w:t>
      </w:r>
    </w:p>
    <w:p w14:paraId="18C26C42" w14:textId="6A3B4BF2" w:rsidR="00C85EAF" w:rsidRPr="000B694D" w:rsidRDefault="1C2EE2BF"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lastRenderedPageBreak/>
        <w:t>By leveraging data visualizations, hospitals and policymakers can better understand these trends and develop strategies to address patient safety concerns without creating unintended consequences in financial and legal decision-making.</w:t>
      </w:r>
    </w:p>
    <w:p w14:paraId="18A53EA4" w14:textId="27A4603E" w:rsidR="00C85EAF" w:rsidRPr="000B694D" w:rsidRDefault="0BE63075" w:rsidP="0E88A7E2">
      <w:pPr>
        <w:spacing w:after="240" w:line="480" w:lineRule="auto"/>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b/>
          <w:bCs/>
          <w:sz w:val="24"/>
          <w:szCs w:val="24"/>
          <w:lang w:val="en-US"/>
        </w:rPr>
        <w:t xml:space="preserve">Impact of Nurse </w:t>
      </w:r>
      <w:r w:rsidR="1C2EE2BF" w:rsidRPr="000B694D">
        <w:rPr>
          <w:rFonts w:ascii="Times New Roman" w:eastAsia="Times New Roman" w:hAnsi="Times New Roman" w:cs="Times New Roman"/>
          <w:b/>
          <w:bCs/>
          <w:sz w:val="24"/>
          <w:szCs w:val="24"/>
          <w:lang w:val="en-US"/>
        </w:rPr>
        <w:t>RN Hours and Nurse Education Levels</w:t>
      </w:r>
      <w:r w:rsidR="703E85C8" w:rsidRPr="000B694D">
        <w:rPr>
          <w:rFonts w:ascii="Times New Roman" w:eastAsia="Times New Roman" w:hAnsi="Times New Roman" w:cs="Times New Roman"/>
          <w:b/>
          <w:bCs/>
          <w:sz w:val="24"/>
          <w:szCs w:val="24"/>
          <w:lang w:val="en-US"/>
        </w:rPr>
        <w:t xml:space="preserve"> on PSI 90 scores</w:t>
      </w:r>
    </w:p>
    <w:p w14:paraId="0C1F54A6" w14:textId="71C2CBB5" w:rsidR="00C85EAF" w:rsidRPr="000B694D" w:rsidRDefault="35922569"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The relationship between registered nurse (RN) staffing levels and patient safety indicators presents a complex and sometimes paradoxical pattern. As illustrated in the accompanying graph, hospitals that have "achieved the standard" for RN hours per patient day paradoxically demonstrate higher Patient Safety Indicator (PSI) 90 scores compared to facilities with "some achievement" or "considerable achievement." This counterintuitive finding challenges the conventional understanding that increased nurse staffing invariably leads to improved patient safety outcomes. The Agency for Healthcare Research and Quality (AHRQ) developed PSI 90 as a composite measure capturing ten potentially preventable adverse events, including pressure ulcers, postoperative complications, and in-hospital falls (Victoria et al., 2022). While research has consistently shown that higher nurse-to-patient ratios generally correlate with improved safety assessments, with each additional patient per nurse increasing the odds of unfavorable patient safety ratings by 6%, the relationship appears more nuanced when examining composite measures like PSI 90. Padula et al. (2020) suggest that the PSI 90 composite score may create imbalanced incentives, potentially causing hospitals to prioritize certain preventable conditions over others based on their weighted contribution to the overall score. Additionally, this unexpected relationship may reflect the critical importance of nurse education levels rather than just staffing quantity, as hospitals with higher proportions of baccalaureate-prepared nurses consistently report better patient safety outcomes regardless of total staffing hours </w:t>
      </w:r>
      <w:r w:rsidR="00061F2E" w:rsidRPr="000B694D">
        <w:rPr>
          <w:rFonts w:ascii="Times New Roman" w:eastAsia="Times New Roman" w:hAnsi="Times New Roman" w:cs="Times New Roman"/>
          <w:sz w:val="24"/>
          <w:szCs w:val="24"/>
          <w:lang w:val="en-US"/>
        </w:rPr>
        <w:t>(Harrison et al., 2019)</w:t>
      </w:r>
      <w:r w:rsidRPr="000B694D">
        <w:rPr>
          <w:rFonts w:ascii="Times New Roman" w:eastAsia="Times New Roman" w:hAnsi="Times New Roman" w:cs="Times New Roman"/>
          <w:sz w:val="24"/>
          <w:szCs w:val="24"/>
          <w:lang w:val="en-US"/>
        </w:rPr>
        <w:t xml:space="preserve">. This section explores the multifaceted relationship </w:t>
      </w:r>
      <w:r w:rsidRPr="000B694D">
        <w:rPr>
          <w:rFonts w:ascii="Times New Roman" w:eastAsia="Times New Roman" w:hAnsi="Times New Roman" w:cs="Times New Roman"/>
          <w:sz w:val="24"/>
          <w:szCs w:val="24"/>
          <w:lang w:val="en-US"/>
        </w:rPr>
        <w:lastRenderedPageBreak/>
        <w:t>between RN staffing hours, nurse education levels, and their combined impact on patient safety performance as measured by PSI 90 scores.</w:t>
      </w:r>
    </w:p>
    <w:p w14:paraId="3370ED49" w14:textId="320564F3" w:rsidR="00BE146F" w:rsidRPr="00BE146F" w:rsidRDefault="00BE146F" w:rsidP="00BE146F">
      <w:pPr>
        <w:pStyle w:val="Caption"/>
        <w:keepNext/>
        <w:jc w:val="center"/>
        <w:rPr>
          <w:rFonts w:ascii="Times New Roman" w:hAnsi="Times New Roman" w:cs="Times New Roman"/>
          <w:i w:val="0"/>
          <w:iCs w:val="0"/>
          <w:color w:val="auto"/>
          <w:sz w:val="22"/>
          <w:szCs w:val="22"/>
        </w:rPr>
      </w:pPr>
      <w:r w:rsidRPr="00BE146F">
        <w:rPr>
          <w:rFonts w:ascii="Times New Roman" w:hAnsi="Times New Roman" w:cs="Times New Roman"/>
          <w:i w:val="0"/>
          <w:iCs w:val="0"/>
          <w:color w:val="auto"/>
          <w:sz w:val="22"/>
          <w:szCs w:val="22"/>
        </w:rPr>
        <w:t xml:space="preserve">Figure </w:t>
      </w:r>
      <w:r w:rsidRPr="00BE146F">
        <w:rPr>
          <w:rFonts w:ascii="Times New Roman" w:hAnsi="Times New Roman" w:cs="Times New Roman"/>
          <w:i w:val="0"/>
          <w:iCs w:val="0"/>
          <w:color w:val="auto"/>
          <w:sz w:val="22"/>
          <w:szCs w:val="22"/>
        </w:rPr>
        <w:fldChar w:fldCharType="begin"/>
      </w:r>
      <w:r w:rsidRPr="00BE146F">
        <w:rPr>
          <w:rFonts w:ascii="Times New Roman" w:hAnsi="Times New Roman" w:cs="Times New Roman"/>
          <w:i w:val="0"/>
          <w:iCs w:val="0"/>
          <w:color w:val="auto"/>
          <w:sz w:val="22"/>
          <w:szCs w:val="22"/>
        </w:rPr>
        <w:instrText xml:space="preserve"> SEQ Figure \* ARABIC </w:instrText>
      </w:r>
      <w:r w:rsidRPr="00BE146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5</w:t>
      </w:r>
      <w:r w:rsidRPr="00BE146F">
        <w:rPr>
          <w:rFonts w:ascii="Times New Roman" w:hAnsi="Times New Roman" w:cs="Times New Roman"/>
          <w:i w:val="0"/>
          <w:iCs w:val="0"/>
          <w:color w:val="auto"/>
          <w:sz w:val="22"/>
          <w:szCs w:val="22"/>
        </w:rPr>
        <w:fldChar w:fldCharType="end"/>
      </w:r>
    </w:p>
    <w:p w14:paraId="53D42564" w14:textId="720F3458" w:rsidR="00C85EAF" w:rsidRPr="00BE146F" w:rsidRDefault="5FA1463A" w:rsidP="007E5459">
      <w:pPr>
        <w:spacing w:before="240" w:after="240" w:line="480" w:lineRule="auto"/>
        <w:rPr>
          <w:rFonts w:ascii="Times New Roman" w:eastAsia="Times New Roman" w:hAnsi="Times New Roman" w:cs="Times New Roman"/>
          <w:sz w:val="24"/>
          <w:szCs w:val="24"/>
          <w:lang w:val="en-US"/>
        </w:rPr>
      </w:pPr>
      <w:r w:rsidRPr="000B694D">
        <w:rPr>
          <w:rFonts w:ascii="Times New Roman" w:hAnsi="Times New Roman" w:cs="Times New Roman"/>
          <w:noProof/>
          <w:sz w:val="24"/>
          <w:szCs w:val="24"/>
        </w:rPr>
        <w:drawing>
          <wp:inline distT="0" distB="0" distL="0" distR="0" wp14:anchorId="5E5258B9" wp14:editId="04167043">
            <wp:extent cx="5638583" cy="3560259"/>
            <wp:effectExtent l="0" t="0" r="0" b="0"/>
            <wp:docPr id="46923591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19121" name=""/>
                    <pic:cNvPicPr/>
                  </pic:nvPicPr>
                  <pic:blipFill>
                    <a:blip r:embed="rId12">
                      <a:extLst>
                        <a:ext uri="{28A0092B-C50C-407E-A947-70E740481C1C}">
                          <a14:useLocalDpi xmlns:a14="http://schemas.microsoft.com/office/drawing/2010/main"/>
                        </a:ext>
                      </a:extLst>
                    </a:blip>
                    <a:stretch>
                      <a:fillRect/>
                    </a:stretch>
                  </pic:blipFill>
                  <pic:spPr>
                    <a:xfrm>
                      <a:off x="0" y="0"/>
                      <a:ext cx="5638583" cy="3560259"/>
                    </a:xfrm>
                    <a:prstGeom prst="rect">
                      <a:avLst/>
                    </a:prstGeom>
                  </pic:spPr>
                </pic:pic>
              </a:graphicData>
            </a:graphic>
          </wp:inline>
        </w:drawing>
      </w:r>
      <w:r w:rsidRPr="000B694D">
        <w:rPr>
          <w:rFonts w:ascii="Times New Roman" w:hAnsi="Times New Roman" w:cs="Times New Roman"/>
          <w:sz w:val="24"/>
          <w:szCs w:val="24"/>
        </w:rPr>
        <w:br/>
      </w:r>
      <w:r w:rsidRPr="000B694D">
        <w:rPr>
          <w:rFonts w:ascii="Times New Roman" w:hAnsi="Times New Roman" w:cs="Times New Roman"/>
          <w:sz w:val="24"/>
          <w:szCs w:val="24"/>
        </w:rPr>
        <w:tab/>
      </w:r>
      <w:r w:rsidR="1C2EE2BF" w:rsidRPr="000B694D">
        <w:rPr>
          <w:rFonts w:ascii="Times New Roman" w:eastAsia="Times New Roman" w:hAnsi="Times New Roman" w:cs="Times New Roman"/>
          <w:sz w:val="24"/>
          <w:szCs w:val="24"/>
          <w:lang w:val="en-US"/>
        </w:rPr>
        <w:t>Interestingly, some hospitals that "achieved the standard" for registered nurse (RN) hours per patient day (NHPPD) still exhibited higher PSI 90 scores</w:t>
      </w:r>
      <w:r w:rsidR="38019BFB" w:rsidRPr="000B694D">
        <w:rPr>
          <w:rFonts w:ascii="Times New Roman" w:eastAsia="Times New Roman" w:hAnsi="Times New Roman" w:cs="Times New Roman"/>
          <w:sz w:val="24"/>
          <w:szCs w:val="24"/>
          <w:lang w:val="en-US"/>
        </w:rPr>
        <w:t xml:space="preserve"> </w:t>
      </w:r>
      <w:r w:rsidR="2531DEAD" w:rsidRPr="000B694D">
        <w:rPr>
          <w:rFonts w:ascii="Times New Roman" w:eastAsia="Times New Roman" w:hAnsi="Times New Roman" w:cs="Times New Roman"/>
          <w:sz w:val="24"/>
          <w:szCs w:val="24"/>
          <w:lang w:val="en-US"/>
        </w:rPr>
        <w:t>(see Figure 5)</w:t>
      </w:r>
      <w:r w:rsidR="1C2EE2BF" w:rsidRPr="000B694D">
        <w:rPr>
          <w:rFonts w:ascii="Times New Roman" w:eastAsia="Times New Roman" w:hAnsi="Times New Roman" w:cs="Times New Roman"/>
          <w:sz w:val="24"/>
          <w:szCs w:val="24"/>
          <w:lang w:val="en-US"/>
        </w:rPr>
        <w:t xml:space="preserve">. This counterintuitive finding may be explained by differences in nurse education levels. Griffiths et al. (2023) demonstrated that hospitals with a higher proportion of baccalaureate-prepared nurses (&gt;80%) had significantly lower rates of hospital-acquired complications, such as central line-associated bloodstream infections and deep vein thrombosis, compared to hospitals with lower educational attainment among nurses. Conversely, hospitals meeting NHPPD standards but employing fewer baccalaureate-educated nurses experienced higher PSI 90 scores, suggesting </w:t>
      </w:r>
      <w:r w:rsidR="1C2EE2BF" w:rsidRPr="000B694D">
        <w:rPr>
          <w:rFonts w:ascii="Times New Roman" w:eastAsia="Times New Roman" w:hAnsi="Times New Roman" w:cs="Times New Roman"/>
          <w:sz w:val="24"/>
          <w:szCs w:val="24"/>
          <w:lang w:val="en-US"/>
        </w:rPr>
        <w:lastRenderedPageBreak/>
        <w:t xml:space="preserve">that staffing quantity alone is insufficient without adequate </w:t>
      </w:r>
      <w:r w:rsidR="1C2EE2BF" w:rsidRPr="00BE146F">
        <w:rPr>
          <w:rFonts w:ascii="Times New Roman" w:eastAsia="Times New Roman" w:hAnsi="Times New Roman" w:cs="Times New Roman"/>
          <w:sz w:val="24"/>
          <w:szCs w:val="24"/>
          <w:lang w:val="en-US"/>
        </w:rPr>
        <w:t>skill mix and education (Griffiths et al., 2023).</w:t>
      </w:r>
    </w:p>
    <w:p w14:paraId="5B692C99" w14:textId="65561CD4" w:rsidR="00BE146F" w:rsidRPr="00BE146F" w:rsidRDefault="00BE146F" w:rsidP="00BE146F">
      <w:pPr>
        <w:pStyle w:val="Caption"/>
        <w:keepNext/>
        <w:jc w:val="center"/>
        <w:rPr>
          <w:rFonts w:ascii="Times New Roman" w:hAnsi="Times New Roman" w:cs="Times New Roman"/>
          <w:i w:val="0"/>
          <w:iCs w:val="0"/>
          <w:color w:val="auto"/>
          <w:sz w:val="22"/>
          <w:szCs w:val="22"/>
        </w:rPr>
      </w:pPr>
      <w:r w:rsidRPr="00BE146F">
        <w:rPr>
          <w:rFonts w:ascii="Times New Roman" w:hAnsi="Times New Roman" w:cs="Times New Roman"/>
          <w:i w:val="0"/>
          <w:iCs w:val="0"/>
          <w:color w:val="auto"/>
          <w:sz w:val="22"/>
          <w:szCs w:val="22"/>
        </w:rPr>
        <w:t xml:space="preserve">Figure </w:t>
      </w:r>
      <w:r w:rsidRPr="00BE146F">
        <w:rPr>
          <w:rFonts w:ascii="Times New Roman" w:hAnsi="Times New Roman" w:cs="Times New Roman"/>
          <w:i w:val="0"/>
          <w:iCs w:val="0"/>
          <w:color w:val="auto"/>
          <w:sz w:val="22"/>
          <w:szCs w:val="22"/>
        </w:rPr>
        <w:fldChar w:fldCharType="begin"/>
      </w:r>
      <w:r w:rsidRPr="00BE146F">
        <w:rPr>
          <w:rFonts w:ascii="Times New Roman" w:hAnsi="Times New Roman" w:cs="Times New Roman"/>
          <w:i w:val="0"/>
          <w:iCs w:val="0"/>
          <w:color w:val="auto"/>
          <w:sz w:val="22"/>
          <w:szCs w:val="22"/>
        </w:rPr>
        <w:instrText xml:space="preserve"> SEQ Figure \* ARABIC </w:instrText>
      </w:r>
      <w:r w:rsidRPr="00BE146F">
        <w:rPr>
          <w:rFonts w:ascii="Times New Roman" w:hAnsi="Times New Roman" w:cs="Times New Roman"/>
          <w:i w:val="0"/>
          <w:iCs w:val="0"/>
          <w:color w:val="auto"/>
          <w:sz w:val="22"/>
          <w:szCs w:val="22"/>
        </w:rPr>
        <w:fldChar w:fldCharType="separate"/>
      </w:r>
      <w:r w:rsidRPr="00BE146F">
        <w:rPr>
          <w:rFonts w:ascii="Times New Roman" w:hAnsi="Times New Roman" w:cs="Times New Roman"/>
          <w:i w:val="0"/>
          <w:iCs w:val="0"/>
          <w:noProof/>
          <w:color w:val="auto"/>
          <w:sz w:val="22"/>
          <w:szCs w:val="22"/>
        </w:rPr>
        <w:t>6</w:t>
      </w:r>
      <w:r w:rsidRPr="00BE146F">
        <w:rPr>
          <w:rFonts w:ascii="Times New Roman" w:hAnsi="Times New Roman" w:cs="Times New Roman"/>
          <w:i w:val="0"/>
          <w:iCs w:val="0"/>
          <w:color w:val="auto"/>
          <w:sz w:val="22"/>
          <w:szCs w:val="22"/>
        </w:rPr>
        <w:fldChar w:fldCharType="end"/>
      </w:r>
    </w:p>
    <w:p w14:paraId="23147FAD" w14:textId="2698D691" w:rsidR="00C85EAF" w:rsidRPr="000B694D" w:rsidRDefault="6F8F9B6E" w:rsidP="0E88A7E2">
      <w:pPr>
        <w:spacing w:before="240" w:after="240" w:line="480" w:lineRule="auto"/>
        <w:jc w:val="both"/>
        <w:rPr>
          <w:rFonts w:ascii="Times New Roman" w:eastAsia="Times New Roman" w:hAnsi="Times New Roman" w:cs="Times New Roman"/>
          <w:b/>
          <w:bCs/>
          <w:sz w:val="24"/>
          <w:szCs w:val="24"/>
        </w:rPr>
      </w:pPr>
      <w:r w:rsidRPr="000B694D">
        <w:rPr>
          <w:rFonts w:ascii="Times New Roman" w:hAnsi="Times New Roman" w:cs="Times New Roman"/>
          <w:noProof/>
          <w:sz w:val="24"/>
          <w:szCs w:val="24"/>
        </w:rPr>
        <w:drawing>
          <wp:inline distT="0" distB="0" distL="0" distR="0" wp14:anchorId="380B9D9A" wp14:editId="571546EC">
            <wp:extent cx="5673725" cy="3564263"/>
            <wp:effectExtent l="0" t="0" r="0" b="0"/>
            <wp:docPr id="112693276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69239" name=""/>
                    <pic:cNvPicPr/>
                  </pic:nvPicPr>
                  <pic:blipFill>
                    <a:blip r:embed="rId13">
                      <a:extLst>
                        <a:ext uri="{28A0092B-C50C-407E-A947-70E740481C1C}">
                          <a14:useLocalDpi xmlns:a14="http://schemas.microsoft.com/office/drawing/2010/main"/>
                        </a:ext>
                      </a:extLst>
                    </a:blip>
                    <a:stretch>
                      <a:fillRect/>
                    </a:stretch>
                  </pic:blipFill>
                  <pic:spPr>
                    <a:xfrm>
                      <a:off x="0" y="0"/>
                      <a:ext cx="5673725" cy="3564263"/>
                    </a:xfrm>
                    <a:prstGeom prst="rect">
                      <a:avLst/>
                    </a:prstGeom>
                  </pic:spPr>
                </pic:pic>
              </a:graphicData>
            </a:graphic>
          </wp:inline>
        </w:drawing>
      </w:r>
    </w:p>
    <w:p w14:paraId="5141C18D" w14:textId="4CAB7274" w:rsidR="00C85EAF" w:rsidRPr="000B694D" w:rsidRDefault="0A28DD26" w:rsidP="007E5459">
      <w:pPr>
        <w:spacing w:before="240" w:after="240" w:line="480" w:lineRule="auto"/>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Nurse education plays a pivotal role in influencing PSI 90 scores, as it directly impacts clinical decision-making, patient monitoring, and adherence to best practices. Nurses with advanced education, such as Bachelor of Science in Nursing (BSN) or Master of Science in Nursing (MSN) degrees, demonstrate stronger clinical judgment and critical thinking abilities, which are essential for preventing the types of adverse events captured by PSI 90 indicators (Stanley et al., 2023). Higher educational attainment equips nurses with the skills needed to recognize early warning signs of patient deterioration, enabling timely interventions that can avert complications such as hospital-acquired infections, deep vein thrombosis, and post-surgical errors (Zrelak et al., 2022). Furthermore, healthcare institutions that prioritize ongoing professional development </w:t>
      </w:r>
      <w:r w:rsidRPr="000B694D">
        <w:rPr>
          <w:rFonts w:ascii="Times New Roman" w:eastAsia="Times New Roman" w:hAnsi="Times New Roman" w:cs="Times New Roman"/>
          <w:sz w:val="24"/>
          <w:szCs w:val="24"/>
          <w:lang w:val="en-US"/>
        </w:rPr>
        <w:lastRenderedPageBreak/>
        <w:t>through certifications and advanced training tend to exhibit greater adherence to evidence-based clinical guidelines, ultimately contributing to improved patient safety outcomes (Dynan &amp; Smith, 2022). In contrast, inadequate nurse education may result in inconsistent implementation of best practices, increasing the likelihood of preventable adverse events and thereby elevating PSI 90 scores</w:t>
      </w:r>
      <w:r w:rsidR="5F5AC6EA" w:rsidRPr="000B694D">
        <w:rPr>
          <w:rFonts w:ascii="Times New Roman" w:eastAsia="Times New Roman" w:hAnsi="Times New Roman" w:cs="Times New Roman"/>
          <w:sz w:val="24"/>
          <w:szCs w:val="24"/>
          <w:lang w:val="en-US"/>
        </w:rPr>
        <w:t xml:space="preserve"> </w:t>
      </w:r>
      <w:r w:rsidR="3AF11EA6" w:rsidRPr="000B694D">
        <w:rPr>
          <w:rFonts w:ascii="Times New Roman" w:eastAsia="Times New Roman" w:hAnsi="Times New Roman" w:cs="Times New Roman"/>
          <w:sz w:val="24"/>
          <w:szCs w:val="24"/>
          <w:lang w:val="en-US"/>
        </w:rPr>
        <w:t>(see Figure 6)</w:t>
      </w:r>
      <w:r w:rsidRPr="000B694D">
        <w:rPr>
          <w:rFonts w:ascii="Times New Roman" w:eastAsia="Times New Roman" w:hAnsi="Times New Roman" w:cs="Times New Roman"/>
          <w:sz w:val="24"/>
          <w:szCs w:val="24"/>
          <w:lang w:val="en-US"/>
        </w:rPr>
        <w:t>. These findings underscore the importance of integrating nurse education as a core component of patient safety strategies within hospital settings.</w:t>
      </w:r>
    </w:p>
    <w:p w14:paraId="783A3F33" w14:textId="57B2CA86" w:rsidR="00C85EAF" w:rsidRPr="000B694D" w:rsidRDefault="6FF481BE" w:rsidP="007E5459">
      <w:pPr>
        <w:spacing w:before="240" w:after="240" w:line="480" w:lineRule="auto"/>
        <w:ind w:firstLine="720"/>
        <w:rPr>
          <w:rFonts w:ascii="Times New Roman" w:eastAsia="Times New Roman" w:hAnsi="Times New Roman" w:cs="Times New Roman"/>
          <w:b/>
          <w:bCs/>
          <w:sz w:val="24"/>
          <w:szCs w:val="24"/>
          <w:lang w:val="en-US"/>
        </w:rPr>
      </w:pPr>
      <w:r w:rsidRPr="000B694D">
        <w:rPr>
          <w:rFonts w:ascii="Times New Roman" w:eastAsia="Times New Roman" w:hAnsi="Times New Roman" w:cs="Times New Roman"/>
          <w:sz w:val="24"/>
          <w:szCs w:val="24"/>
          <w:lang w:val="en-US"/>
        </w:rPr>
        <w:t xml:space="preserve">This analysis highlights the critical need to move beyond merely fulfilling registered nurse (RN) staffing standards and to place equal emphasis on the quality of nurse education in improving patient safety outcomes. While initial evaluations may suggest that adequate staffing levels are sufficient, deeper analysis using data visualization tools reveals that nurse qualifications and training significantly influence safety indicators such as the PSI 90 score (Padula et al., 2020). By integrating staffing data with educational metrics, visualizations can uncover previously overlooked discrepancies, identifying healthcare facilities where deficiencies in </w:t>
      </w:r>
      <w:proofErr w:type="gramStart"/>
      <w:r w:rsidRPr="000B694D">
        <w:rPr>
          <w:rFonts w:ascii="Times New Roman" w:eastAsia="Times New Roman" w:hAnsi="Times New Roman" w:cs="Times New Roman"/>
          <w:sz w:val="24"/>
          <w:szCs w:val="24"/>
          <w:lang w:val="en-US"/>
        </w:rPr>
        <w:t>nurse</w:t>
      </w:r>
      <w:proofErr w:type="gramEnd"/>
      <w:r w:rsidRPr="000B694D">
        <w:rPr>
          <w:rFonts w:ascii="Times New Roman" w:eastAsia="Times New Roman" w:hAnsi="Times New Roman" w:cs="Times New Roman"/>
          <w:sz w:val="24"/>
          <w:szCs w:val="24"/>
          <w:lang w:val="en-US"/>
        </w:rPr>
        <w:t xml:space="preserve"> education may be contributing to adverse patient outcomes. This approach enables hospital administrators and policymakers to adopt more nuanced, evidence-based strategies, including the implementation of continuing education programs and the recruitment of highly trained nursing professionals. Such targeted interventions are essential for addressing systemic gaps in care quality and for fostering a more resilient and safety-oriented healthcare workforce.</w:t>
      </w:r>
    </w:p>
    <w:p w14:paraId="1FAD2FC6" w14:textId="3BAE8F8C" w:rsidR="006509D1" w:rsidRPr="000B694D" w:rsidRDefault="3BF4092F" w:rsidP="0E88A7E2">
      <w:pPr>
        <w:spacing w:before="240" w:after="240" w:line="480" w:lineRule="auto"/>
        <w:jc w:val="center"/>
        <w:rPr>
          <w:rFonts w:ascii="Times New Roman" w:eastAsia="Times New Roman" w:hAnsi="Times New Roman" w:cs="Times New Roman"/>
          <w:b/>
          <w:bCs/>
          <w:sz w:val="24"/>
          <w:szCs w:val="24"/>
        </w:rPr>
      </w:pPr>
      <w:r w:rsidRPr="000B694D">
        <w:rPr>
          <w:rFonts w:ascii="Times New Roman" w:eastAsia="Times New Roman" w:hAnsi="Times New Roman" w:cs="Times New Roman"/>
          <w:b/>
          <w:bCs/>
          <w:sz w:val="24"/>
          <w:szCs w:val="24"/>
        </w:rPr>
        <w:t>Conclusion</w:t>
      </w:r>
    </w:p>
    <w:p w14:paraId="536F2D5C" w14:textId="79A74890" w:rsidR="2BE7BDBF" w:rsidRPr="000B694D" w:rsidRDefault="2BE7BDBF"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As healthcare systems continue to digitize and evolve in complexity, the ability to derive actionable insights from large, diverse datasets has become not just a necessity but a strategic imperative. Data visualization serves as a transformative tool in this landscape, bridging the gap </w:t>
      </w:r>
      <w:r w:rsidRPr="000B694D">
        <w:rPr>
          <w:rFonts w:ascii="Times New Roman" w:eastAsia="Times New Roman" w:hAnsi="Times New Roman" w:cs="Times New Roman"/>
          <w:sz w:val="24"/>
          <w:szCs w:val="24"/>
          <w:lang w:val="en-US"/>
        </w:rPr>
        <w:lastRenderedPageBreak/>
        <w:t xml:space="preserve">between raw information and evidence-based decision-making. Whether through EHR-integrated dashboards, heat maps of infection rates, or predictive models for patient outcomes, visual analytics enable stakeholders across the healthcare continuum to detect trends, reduce errors, and enhance both clinical and operational performance. </w:t>
      </w:r>
    </w:p>
    <w:p w14:paraId="4143DCC4" w14:textId="343DDBCA" w:rsidR="2BE7BDBF" w:rsidRPr="000B694D" w:rsidRDefault="2BE7BDBF"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This paper demonstrates how data visualization empowers various stakeholder groups—clinicians, administrators, public health officials, patients, and data teams—to make faster, more informed decisions. Real-world examples using Leapfrog Hospital Safety Grades and Patient Safety Indicators (PSI 90) further illustrate its practical value in identifying safety risks, optimizing workflows, and improving health outcomes. Particularly in the context of hospital overcrowding and the financial implications of patient safety failures, visualization tools play a crucial role in surfacing hidden patterns that might otherwise go unnoticed through traditional analysis. </w:t>
      </w:r>
    </w:p>
    <w:p w14:paraId="52ED1D07" w14:textId="7F2AE5FD" w:rsidR="2BE7BDBF" w:rsidRPr="000B694D" w:rsidRDefault="2BE7BDBF" w:rsidP="007E5459">
      <w:pPr>
        <w:spacing w:before="240" w:after="240" w:line="480" w:lineRule="auto"/>
        <w:ind w:firstLine="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Importantly, this review highlights that metrics such as PSI 90 are deeply intertwined with factors like </w:t>
      </w:r>
      <w:proofErr w:type="gramStart"/>
      <w:r w:rsidRPr="000B694D">
        <w:rPr>
          <w:rFonts w:ascii="Times New Roman" w:eastAsia="Times New Roman" w:hAnsi="Times New Roman" w:cs="Times New Roman"/>
          <w:sz w:val="24"/>
          <w:szCs w:val="24"/>
          <w:lang w:val="en-US"/>
        </w:rPr>
        <w:t>nurse staffing</w:t>
      </w:r>
      <w:proofErr w:type="gramEnd"/>
      <w:r w:rsidRPr="000B694D">
        <w:rPr>
          <w:rFonts w:ascii="Times New Roman" w:eastAsia="Times New Roman" w:hAnsi="Times New Roman" w:cs="Times New Roman"/>
          <w:sz w:val="24"/>
          <w:szCs w:val="24"/>
          <w:lang w:val="en-US"/>
        </w:rPr>
        <w:t>, education levels, and institutional behaviors. By integrating these variables into visual dashboards, healthcare leaders are better equipped to pursue targeted interventions, support equitable care delivery, and drive systemic improvements. Data visualization, when applied thoughtfully and strategically, is not merely a reporting tool—it is a catalyst for safer, smarter, and more sustainable healthcare.</w:t>
      </w:r>
    </w:p>
    <w:p w14:paraId="112AA058" w14:textId="5B9863DC" w:rsidR="0E88A7E2" w:rsidRPr="000B694D" w:rsidRDefault="0E88A7E2" w:rsidP="0E88A7E2">
      <w:pPr>
        <w:spacing w:before="240" w:after="240" w:line="480" w:lineRule="auto"/>
        <w:ind w:firstLine="720"/>
        <w:jc w:val="both"/>
        <w:rPr>
          <w:rFonts w:ascii="Times New Roman" w:eastAsia="Times New Roman" w:hAnsi="Times New Roman" w:cs="Times New Roman"/>
          <w:sz w:val="24"/>
          <w:szCs w:val="24"/>
          <w:lang w:val="en-US"/>
        </w:rPr>
      </w:pPr>
    </w:p>
    <w:p w14:paraId="2BC05EDD" w14:textId="665AEFFC" w:rsidR="0E88A7E2" w:rsidRPr="000B694D" w:rsidRDefault="0E88A7E2" w:rsidP="0E88A7E2">
      <w:pPr>
        <w:spacing w:before="240" w:after="240" w:line="480" w:lineRule="auto"/>
        <w:ind w:firstLine="720"/>
        <w:jc w:val="both"/>
        <w:rPr>
          <w:rFonts w:ascii="Times New Roman" w:eastAsia="Times New Roman" w:hAnsi="Times New Roman" w:cs="Times New Roman"/>
          <w:sz w:val="24"/>
          <w:szCs w:val="24"/>
          <w:lang w:val="en-US"/>
        </w:rPr>
      </w:pPr>
    </w:p>
    <w:p w14:paraId="7C88F02A" w14:textId="77777777" w:rsidR="00BE146F" w:rsidRPr="000B694D" w:rsidRDefault="00BE146F" w:rsidP="007E5459">
      <w:pPr>
        <w:spacing w:before="240" w:after="240" w:line="480" w:lineRule="auto"/>
        <w:jc w:val="both"/>
        <w:rPr>
          <w:rFonts w:ascii="Times New Roman" w:eastAsia="Times New Roman" w:hAnsi="Times New Roman" w:cs="Times New Roman"/>
          <w:sz w:val="24"/>
          <w:szCs w:val="24"/>
          <w:lang w:val="en-US"/>
        </w:rPr>
      </w:pPr>
    </w:p>
    <w:p w14:paraId="12B20E16" w14:textId="2C727372" w:rsidR="0E88A7E2" w:rsidRPr="00BE146F" w:rsidRDefault="1D46AB52" w:rsidP="00BE146F">
      <w:pPr>
        <w:spacing w:before="240" w:after="240" w:line="480" w:lineRule="auto"/>
        <w:jc w:val="center"/>
        <w:rPr>
          <w:rFonts w:ascii="Times New Roman" w:eastAsia="Times New Roman" w:hAnsi="Times New Roman" w:cs="Times New Roman"/>
          <w:b/>
          <w:bCs/>
          <w:sz w:val="24"/>
          <w:szCs w:val="24"/>
        </w:rPr>
      </w:pPr>
      <w:r w:rsidRPr="000B694D">
        <w:rPr>
          <w:rFonts w:ascii="Times New Roman" w:eastAsia="Times New Roman" w:hAnsi="Times New Roman" w:cs="Times New Roman"/>
          <w:b/>
          <w:bCs/>
          <w:sz w:val="24"/>
          <w:szCs w:val="24"/>
        </w:rPr>
        <w:lastRenderedPageBreak/>
        <w:t>REFERENCES</w:t>
      </w:r>
    </w:p>
    <w:p w14:paraId="0D04AC73" w14:textId="124DBE55" w:rsidR="30F2C165" w:rsidRPr="000B694D" w:rsidRDefault="30F2C165" w:rsidP="0E88A7E2">
      <w:pPr>
        <w:spacing w:line="480" w:lineRule="auto"/>
        <w:ind w:left="720" w:hanging="720"/>
        <w:rPr>
          <w:rFonts w:ascii="Times New Roman" w:eastAsia="Times New Roman" w:hAnsi="Times New Roman" w:cs="Times New Roman"/>
          <w:sz w:val="24"/>
          <w:szCs w:val="24"/>
          <w:lang w:val="en-US"/>
        </w:rPr>
      </w:pPr>
      <w:proofErr w:type="spellStart"/>
      <w:r w:rsidRPr="000B694D">
        <w:rPr>
          <w:rFonts w:ascii="Times New Roman" w:eastAsia="Times New Roman" w:hAnsi="Times New Roman" w:cs="Times New Roman"/>
          <w:sz w:val="24"/>
          <w:szCs w:val="24"/>
          <w:lang w:val="en-US"/>
        </w:rPr>
        <w:t>Abudiyab</w:t>
      </w:r>
      <w:proofErr w:type="spellEnd"/>
      <w:r w:rsidRPr="000B694D">
        <w:rPr>
          <w:rFonts w:ascii="Times New Roman" w:eastAsia="Times New Roman" w:hAnsi="Times New Roman" w:cs="Times New Roman"/>
          <w:sz w:val="24"/>
          <w:szCs w:val="24"/>
          <w:lang w:val="en-US"/>
        </w:rPr>
        <w:t xml:space="preserve">, N. A., &amp; Alanazi, A. T. (2022). Visualization techniques in healthcare applications: A narrative review. </w:t>
      </w:r>
      <w:proofErr w:type="spellStart"/>
      <w:r w:rsidRPr="000B694D">
        <w:rPr>
          <w:rFonts w:ascii="Times New Roman" w:eastAsia="Times New Roman" w:hAnsi="Times New Roman" w:cs="Times New Roman"/>
          <w:i/>
          <w:iCs/>
          <w:sz w:val="24"/>
          <w:szCs w:val="24"/>
          <w:lang w:val="en-US"/>
        </w:rPr>
        <w:t>Cureus</w:t>
      </w:r>
      <w:proofErr w:type="spellEnd"/>
      <w:r w:rsidRPr="000B694D">
        <w:rPr>
          <w:rFonts w:ascii="Times New Roman" w:eastAsia="Times New Roman" w:hAnsi="Times New Roman" w:cs="Times New Roman"/>
          <w:i/>
          <w:iCs/>
          <w:sz w:val="24"/>
          <w:szCs w:val="24"/>
          <w:lang w:val="en-US"/>
        </w:rPr>
        <w:t>, 14</w:t>
      </w:r>
      <w:r w:rsidRPr="000B694D">
        <w:rPr>
          <w:rFonts w:ascii="Times New Roman" w:eastAsia="Times New Roman" w:hAnsi="Times New Roman" w:cs="Times New Roman"/>
          <w:sz w:val="24"/>
          <w:szCs w:val="24"/>
          <w:lang w:val="en-US"/>
        </w:rPr>
        <w:t xml:space="preserve">(11), e31355. </w:t>
      </w:r>
      <w:hyperlink r:id="rId14">
        <w:r w:rsidRPr="000B694D">
          <w:rPr>
            <w:rStyle w:val="Hyperlink"/>
            <w:rFonts w:ascii="Times New Roman" w:eastAsia="Times New Roman" w:hAnsi="Times New Roman" w:cs="Times New Roman"/>
            <w:sz w:val="24"/>
            <w:szCs w:val="24"/>
            <w:lang w:val="en-US"/>
          </w:rPr>
          <w:t>https://doi.org/10.7759/cureus.31355</w:t>
        </w:r>
      </w:hyperlink>
    </w:p>
    <w:p w14:paraId="7254512B" w14:textId="55C51952" w:rsidR="4A7354B5" w:rsidRPr="000B694D" w:rsidRDefault="4A7354B5" w:rsidP="0E88A7E2">
      <w:pPr>
        <w:spacing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Aragón, T. J., Cody, S. H., </w:t>
      </w:r>
      <w:proofErr w:type="spellStart"/>
      <w:r w:rsidRPr="000B694D">
        <w:rPr>
          <w:rFonts w:ascii="Times New Roman" w:eastAsia="Times New Roman" w:hAnsi="Times New Roman" w:cs="Times New Roman"/>
          <w:sz w:val="24"/>
          <w:szCs w:val="24"/>
          <w:lang w:val="en-US"/>
        </w:rPr>
        <w:t>Farnitano</w:t>
      </w:r>
      <w:proofErr w:type="spellEnd"/>
      <w:r w:rsidRPr="000B694D">
        <w:rPr>
          <w:rFonts w:ascii="Times New Roman" w:eastAsia="Times New Roman" w:hAnsi="Times New Roman" w:cs="Times New Roman"/>
          <w:sz w:val="24"/>
          <w:szCs w:val="24"/>
          <w:lang w:val="en-US"/>
        </w:rPr>
        <w:t xml:space="preserve">, C., Hernandez, L. B., Morrow, S. A., Pan, E. S., </w:t>
      </w:r>
      <w:proofErr w:type="spellStart"/>
      <w:r w:rsidRPr="000B694D">
        <w:rPr>
          <w:rFonts w:ascii="Times New Roman" w:eastAsia="Times New Roman" w:hAnsi="Times New Roman" w:cs="Times New Roman"/>
          <w:sz w:val="24"/>
          <w:szCs w:val="24"/>
          <w:lang w:val="en-US"/>
        </w:rPr>
        <w:t>Tzvieli</w:t>
      </w:r>
      <w:proofErr w:type="spellEnd"/>
      <w:r w:rsidRPr="000B694D">
        <w:rPr>
          <w:rFonts w:ascii="Times New Roman" w:eastAsia="Times New Roman" w:hAnsi="Times New Roman" w:cs="Times New Roman"/>
          <w:sz w:val="24"/>
          <w:szCs w:val="24"/>
          <w:lang w:val="en-US"/>
        </w:rPr>
        <w:t xml:space="preserve">, O., &amp; Willis, M. (2021). Crisis decision-making at the speed of COVID-19: Field report on issuing the first regional shelter-in-place orders in the United States. </w:t>
      </w:r>
      <w:r w:rsidRPr="000B694D">
        <w:rPr>
          <w:rFonts w:ascii="Times New Roman" w:eastAsia="Times New Roman" w:hAnsi="Times New Roman" w:cs="Times New Roman"/>
          <w:i/>
          <w:iCs/>
          <w:sz w:val="24"/>
          <w:szCs w:val="24"/>
          <w:lang w:val="en-US"/>
        </w:rPr>
        <w:t>Journal of Public Health Management and Practice, 27</w:t>
      </w:r>
      <w:r w:rsidRPr="000B694D">
        <w:rPr>
          <w:rFonts w:ascii="Times New Roman" w:eastAsia="Times New Roman" w:hAnsi="Times New Roman" w:cs="Times New Roman"/>
          <w:sz w:val="24"/>
          <w:szCs w:val="24"/>
          <w:lang w:val="en-US"/>
        </w:rPr>
        <w:t xml:space="preserve">(1), S19–S28. </w:t>
      </w:r>
      <w:hyperlink r:id="rId15">
        <w:r w:rsidRPr="000B694D">
          <w:rPr>
            <w:rStyle w:val="Hyperlink"/>
            <w:rFonts w:ascii="Times New Roman" w:eastAsia="Times New Roman" w:hAnsi="Times New Roman" w:cs="Times New Roman"/>
            <w:sz w:val="24"/>
            <w:szCs w:val="24"/>
            <w:lang w:val="en-US"/>
          </w:rPr>
          <w:t>https://doi.org/10.1097/phh.0000000000001292</w:t>
        </w:r>
      </w:hyperlink>
    </w:p>
    <w:p w14:paraId="0CB3DD02" w14:textId="3DC39D61" w:rsidR="0E88A7E2" w:rsidRPr="00BE146F" w:rsidRDefault="156F5D49" w:rsidP="00BE146F">
      <w:pPr>
        <w:spacing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Austin, J. M., D’Andrea, G., Birkmeyer, J. D., </w:t>
      </w:r>
      <w:proofErr w:type="spellStart"/>
      <w:r w:rsidRPr="000B694D">
        <w:rPr>
          <w:rFonts w:ascii="Times New Roman" w:eastAsia="Times New Roman" w:hAnsi="Times New Roman" w:cs="Times New Roman"/>
          <w:sz w:val="24"/>
          <w:szCs w:val="24"/>
          <w:lang w:val="en-US"/>
        </w:rPr>
        <w:t>Leape</w:t>
      </w:r>
      <w:proofErr w:type="spellEnd"/>
      <w:r w:rsidRPr="000B694D">
        <w:rPr>
          <w:rFonts w:ascii="Times New Roman" w:eastAsia="Times New Roman" w:hAnsi="Times New Roman" w:cs="Times New Roman"/>
          <w:sz w:val="24"/>
          <w:szCs w:val="24"/>
          <w:lang w:val="en-US"/>
        </w:rPr>
        <w:t xml:space="preserve">, L. L., Milstein, A., Pronovost, P. J., Romano, P. S., Singer, S. J., Vogus, T. J., &amp; Wachter, R. M. (2014). Safety in numbers. </w:t>
      </w:r>
      <w:r w:rsidRPr="000B694D">
        <w:rPr>
          <w:rFonts w:ascii="Times New Roman" w:eastAsia="Times New Roman" w:hAnsi="Times New Roman" w:cs="Times New Roman"/>
          <w:i/>
          <w:iCs/>
          <w:sz w:val="24"/>
          <w:szCs w:val="24"/>
          <w:lang w:val="en-US"/>
        </w:rPr>
        <w:t>Journal of Patient Safety, 10</w:t>
      </w:r>
      <w:r w:rsidRPr="000B694D">
        <w:rPr>
          <w:rFonts w:ascii="Times New Roman" w:eastAsia="Times New Roman" w:hAnsi="Times New Roman" w:cs="Times New Roman"/>
          <w:sz w:val="24"/>
          <w:szCs w:val="24"/>
          <w:lang w:val="en-US"/>
        </w:rPr>
        <w:t xml:space="preserve">(1), 64–71. </w:t>
      </w:r>
      <w:hyperlink r:id="rId16">
        <w:r w:rsidRPr="000B694D">
          <w:rPr>
            <w:rStyle w:val="Hyperlink"/>
            <w:rFonts w:ascii="Times New Roman" w:eastAsia="Times New Roman" w:hAnsi="Times New Roman" w:cs="Times New Roman"/>
            <w:sz w:val="24"/>
            <w:szCs w:val="24"/>
            <w:lang w:val="en-US"/>
          </w:rPr>
          <w:t>https://doi.org/10.1097/pts.0b013e3182952644</w:t>
        </w:r>
      </w:hyperlink>
      <w:r w:rsidRPr="000B694D">
        <w:rPr>
          <w:rFonts w:ascii="Times New Roman" w:eastAsia="Times New Roman" w:hAnsi="Times New Roman" w:cs="Times New Roman"/>
          <w:sz w:val="24"/>
          <w:szCs w:val="24"/>
          <w:lang w:val="en-US"/>
        </w:rPr>
        <w:t xml:space="preserve"> </w:t>
      </w:r>
    </w:p>
    <w:p w14:paraId="13DDEEEF" w14:textId="14795839" w:rsidR="0E88A7E2" w:rsidRPr="00BE146F" w:rsidRDefault="09D201D6" w:rsidP="00BE146F">
      <w:pPr>
        <w:spacing w:before="240" w:after="240"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Bai, G., Zare, H., &amp; Sen, A. P. (2022). Characteristics of US hospitals using extraordinary collection actions against patients for unpaid medical bills. </w:t>
      </w:r>
      <w:r w:rsidRPr="000B694D">
        <w:rPr>
          <w:rFonts w:ascii="Times New Roman" w:eastAsia="Times New Roman" w:hAnsi="Times New Roman" w:cs="Times New Roman"/>
          <w:i/>
          <w:iCs/>
          <w:sz w:val="24"/>
          <w:szCs w:val="24"/>
          <w:lang w:val="en-US"/>
        </w:rPr>
        <w:t>BMJ Open, 12</w:t>
      </w:r>
      <w:r w:rsidRPr="000B694D">
        <w:rPr>
          <w:rFonts w:ascii="Times New Roman" w:eastAsia="Times New Roman" w:hAnsi="Times New Roman" w:cs="Times New Roman"/>
          <w:sz w:val="24"/>
          <w:szCs w:val="24"/>
          <w:lang w:val="en-US"/>
        </w:rPr>
        <w:t xml:space="preserve">(7), e060501. </w:t>
      </w:r>
      <w:hyperlink r:id="rId17">
        <w:r w:rsidRPr="000B694D">
          <w:rPr>
            <w:rStyle w:val="Hyperlink"/>
            <w:rFonts w:ascii="Times New Roman" w:eastAsia="Times New Roman" w:hAnsi="Times New Roman" w:cs="Times New Roman"/>
            <w:sz w:val="24"/>
            <w:szCs w:val="24"/>
            <w:lang w:val="en-US"/>
          </w:rPr>
          <w:t>https://doi.org/10.1136/bmjopen-2021-060501</w:t>
        </w:r>
      </w:hyperlink>
    </w:p>
    <w:p w14:paraId="6998ED06" w14:textId="12DA69A0" w:rsidR="4AC5FC37" w:rsidRPr="000B694D" w:rsidRDefault="4AC5FC37" w:rsidP="0E88A7E2">
      <w:pPr>
        <w:spacing w:before="240" w:after="240" w:line="480" w:lineRule="auto"/>
        <w:ind w:left="720" w:hanging="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 xml:space="preserve">Carroll, L. N., Au, A. P., Detwiler, L. T., Fu, T., Painter, I. S., &amp; Abernethy, N. F. (2014). Visualization and analytics tools for infectious disease epidemiology: A systematic review. </w:t>
      </w:r>
      <w:r w:rsidRPr="000B694D">
        <w:rPr>
          <w:rFonts w:ascii="Times New Roman" w:eastAsia="Times New Roman" w:hAnsi="Times New Roman" w:cs="Times New Roman"/>
          <w:i/>
          <w:iCs/>
          <w:sz w:val="24"/>
          <w:szCs w:val="24"/>
        </w:rPr>
        <w:t>Journal of Biomedical Informatics, 51</w:t>
      </w:r>
      <w:r w:rsidRPr="000B694D">
        <w:rPr>
          <w:rFonts w:ascii="Times New Roman" w:eastAsia="Times New Roman" w:hAnsi="Times New Roman" w:cs="Times New Roman"/>
          <w:sz w:val="24"/>
          <w:szCs w:val="24"/>
        </w:rPr>
        <w:t xml:space="preserve">, 287–298. </w:t>
      </w:r>
      <w:hyperlink r:id="rId18">
        <w:r w:rsidRPr="000B694D">
          <w:rPr>
            <w:rStyle w:val="Hyperlink"/>
            <w:rFonts w:ascii="Times New Roman" w:eastAsia="Times New Roman" w:hAnsi="Times New Roman" w:cs="Times New Roman"/>
            <w:sz w:val="24"/>
            <w:szCs w:val="24"/>
          </w:rPr>
          <w:t>https://doi.org/10.1016/j.jbi.2014.04.006</w:t>
        </w:r>
      </w:hyperlink>
    </w:p>
    <w:p w14:paraId="576BE6C9" w14:textId="3B19D1BB" w:rsidR="09D201D6" w:rsidRPr="000B694D" w:rsidRDefault="09D201D6" w:rsidP="0E88A7E2">
      <w:pPr>
        <w:spacing w:before="240" w:after="240" w:line="480" w:lineRule="auto"/>
        <w:ind w:left="720" w:hanging="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 xml:space="preserve">Chen, Q., Rosen, A. K., Borzecki, A., &amp; Shwartz, M. (2016). Using harm-based weights for the AHRQ patient safety for selected indicators composite (PSI-90): Does it affect assessment of hospital performance and financial penalties in Veterans Health </w:t>
      </w:r>
      <w:r w:rsidRPr="000B694D">
        <w:rPr>
          <w:rFonts w:ascii="Times New Roman" w:eastAsia="Times New Roman" w:hAnsi="Times New Roman" w:cs="Times New Roman"/>
          <w:sz w:val="24"/>
          <w:szCs w:val="24"/>
        </w:rPr>
        <w:lastRenderedPageBreak/>
        <w:t xml:space="preserve">Administration hospitals? </w:t>
      </w:r>
      <w:r w:rsidRPr="000B694D">
        <w:rPr>
          <w:rFonts w:ascii="Times New Roman" w:eastAsia="Times New Roman" w:hAnsi="Times New Roman" w:cs="Times New Roman"/>
          <w:i/>
          <w:iCs/>
          <w:sz w:val="24"/>
          <w:szCs w:val="24"/>
        </w:rPr>
        <w:t>Health Services Research, 51</w:t>
      </w:r>
      <w:r w:rsidRPr="000B694D">
        <w:rPr>
          <w:rFonts w:ascii="Times New Roman" w:eastAsia="Times New Roman" w:hAnsi="Times New Roman" w:cs="Times New Roman"/>
          <w:sz w:val="24"/>
          <w:szCs w:val="24"/>
        </w:rPr>
        <w:t xml:space="preserve">(6), 2140–2157. </w:t>
      </w:r>
      <w:hyperlink r:id="rId19">
        <w:r w:rsidRPr="000B694D">
          <w:rPr>
            <w:rStyle w:val="Hyperlink"/>
            <w:rFonts w:ascii="Times New Roman" w:eastAsia="Times New Roman" w:hAnsi="Times New Roman" w:cs="Times New Roman"/>
            <w:sz w:val="24"/>
            <w:szCs w:val="24"/>
          </w:rPr>
          <w:t>https://doi.org/10.1111/1475-6773.12596</w:t>
        </w:r>
      </w:hyperlink>
    </w:p>
    <w:p w14:paraId="2425AE00" w14:textId="0E3A4F36" w:rsidR="0E88A7E2" w:rsidRPr="00BE146F" w:rsidRDefault="09D201D6" w:rsidP="00BE146F">
      <w:pPr>
        <w:spacing w:line="480" w:lineRule="auto"/>
        <w:ind w:left="720" w:hanging="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 xml:space="preserve">Choudhury, A., &amp; Asan, O. (2020). Role of artificial intelligence in patient safety outcomes: Systematic literature review. </w:t>
      </w:r>
      <w:r w:rsidRPr="000B694D">
        <w:rPr>
          <w:rFonts w:ascii="Times New Roman" w:eastAsia="Times New Roman" w:hAnsi="Times New Roman" w:cs="Times New Roman"/>
          <w:i/>
          <w:iCs/>
          <w:sz w:val="24"/>
          <w:szCs w:val="24"/>
        </w:rPr>
        <w:t>JMIR Medical Informatics, 8</w:t>
      </w:r>
      <w:r w:rsidRPr="000B694D">
        <w:rPr>
          <w:rFonts w:ascii="Times New Roman" w:eastAsia="Times New Roman" w:hAnsi="Times New Roman" w:cs="Times New Roman"/>
          <w:sz w:val="24"/>
          <w:szCs w:val="24"/>
        </w:rPr>
        <w:t xml:space="preserve">(7), e18599. </w:t>
      </w:r>
      <w:hyperlink r:id="rId20">
        <w:r w:rsidRPr="000B694D">
          <w:rPr>
            <w:rStyle w:val="Hyperlink"/>
            <w:rFonts w:ascii="Times New Roman" w:eastAsia="Times New Roman" w:hAnsi="Times New Roman" w:cs="Times New Roman"/>
            <w:sz w:val="24"/>
            <w:szCs w:val="24"/>
          </w:rPr>
          <w:t>https://doi.org/10.2196/18599</w:t>
        </w:r>
      </w:hyperlink>
    </w:p>
    <w:p w14:paraId="1155C164" w14:textId="6DFD8F8C" w:rsidR="0E88A7E2" w:rsidRPr="00BE146F" w:rsidRDefault="56A8CA25" w:rsidP="00BE146F">
      <w:pPr>
        <w:spacing w:line="480" w:lineRule="auto"/>
        <w:ind w:left="720" w:hanging="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lang w:val="en-US"/>
        </w:rPr>
        <w:t xml:space="preserve">Cua, S. (2016). </w:t>
      </w:r>
      <w:r w:rsidRPr="000B694D">
        <w:rPr>
          <w:rFonts w:ascii="Times New Roman" w:eastAsia="Times New Roman" w:hAnsi="Times New Roman" w:cs="Times New Roman"/>
          <w:i/>
          <w:iCs/>
          <w:sz w:val="24"/>
          <w:szCs w:val="24"/>
          <w:lang w:val="en-US"/>
        </w:rPr>
        <w:t>An investigation of biases in Patient Safety Indicator score distribution amongst hospital cohorts</w:t>
      </w:r>
      <w:r w:rsidRPr="000B694D">
        <w:rPr>
          <w:rFonts w:ascii="Times New Roman" w:eastAsia="Times New Roman" w:hAnsi="Times New Roman" w:cs="Times New Roman"/>
          <w:sz w:val="24"/>
          <w:szCs w:val="24"/>
          <w:lang w:val="en-US"/>
        </w:rPr>
        <w:t xml:space="preserve"> (Undergraduate thesis, The Ohio State University). The Ohio State University Knowledge Bank. </w:t>
      </w:r>
      <w:hyperlink r:id="rId21">
        <w:r w:rsidRPr="000B694D">
          <w:rPr>
            <w:rStyle w:val="Hyperlink"/>
            <w:rFonts w:ascii="Times New Roman" w:eastAsia="Times New Roman" w:hAnsi="Times New Roman" w:cs="Times New Roman"/>
            <w:sz w:val="24"/>
            <w:szCs w:val="24"/>
            <w:lang w:val="en-US"/>
          </w:rPr>
          <w:t>https://kb.osu.edu/bitstreams/be498bff-e7e7-5fc8-a26a-7b746bd0377d/download</w:t>
        </w:r>
      </w:hyperlink>
    </w:p>
    <w:p w14:paraId="1CAC8AAF" w14:textId="3378F242" w:rsidR="0E88A7E2" w:rsidRPr="000B694D" w:rsidRDefault="4DEF916D" w:rsidP="00BE146F">
      <w:pPr>
        <w:spacing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Davy, A., &amp; </w:t>
      </w:r>
      <w:proofErr w:type="spellStart"/>
      <w:r w:rsidRPr="000B694D">
        <w:rPr>
          <w:rFonts w:ascii="Times New Roman" w:eastAsia="Times New Roman" w:hAnsi="Times New Roman" w:cs="Times New Roman"/>
          <w:sz w:val="24"/>
          <w:szCs w:val="24"/>
          <w:lang w:val="en-US"/>
        </w:rPr>
        <w:t>Borycki</w:t>
      </w:r>
      <w:proofErr w:type="spellEnd"/>
      <w:r w:rsidRPr="000B694D">
        <w:rPr>
          <w:rFonts w:ascii="Times New Roman" w:eastAsia="Times New Roman" w:hAnsi="Times New Roman" w:cs="Times New Roman"/>
          <w:sz w:val="24"/>
          <w:szCs w:val="24"/>
          <w:lang w:val="en-US"/>
        </w:rPr>
        <w:t xml:space="preserve">, E. M. (2022). Business intelligence dashboards for patient safety and quality: A narrative literature review. </w:t>
      </w:r>
      <w:r w:rsidRPr="000B694D">
        <w:rPr>
          <w:rFonts w:ascii="Times New Roman" w:eastAsia="Times New Roman" w:hAnsi="Times New Roman" w:cs="Times New Roman"/>
          <w:i/>
          <w:iCs/>
          <w:sz w:val="24"/>
          <w:szCs w:val="24"/>
          <w:lang w:val="en-US"/>
        </w:rPr>
        <w:t>Studies in Health Technology and Informatics, 294</w:t>
      </w:r>
      <w:r w:rsidRPr="000B694D">
        <w:rPr>
          <w:rFonts w:ascii="Times New Roman" w:eastAsia="Times New Roman" w:hAnsi="Times New Roman" w:cs="Times New Roman"/>
          <w:sz w:val="24"/>
          <w:szCs w:val="24"/>
          <w:lang w:val="en-US"/>
        </w:rPr>
        <w:t xml:space="preserve">, 66–70. </w:t>
      </w:r>
      <w:hyperlink r:id="rId22">
        <w:r w:rsidRPr="000B694D">
          <w:rPr>
            <w:rStyle w:val="Hyperlink"/>
            <w:rFonts w:ascii="Times New Roman" w:eastAsia="Times New Roman" w:hAnsi="Times New Roman" w:cs="Times New Roman"/>
            <w:sz w:val="24"/>
            <w:szCs w:val="24"/>
            <w:lang w:val="en-US"/>
          </w:rPr>
          <w:t>https://doi.org/10.3233/SHTI220113</w:t>
        </w:r>
      </w:hyperlink>
    </w:p>
    <w:p w14:paraId="0EC1C5BC" w14:textId="7D3A0FF1" w:rsidR="54BA9658" w:rsidRPr="000B694D" w:rsidRDefault="54BA9658" w:rsidP="0E88A7E2">
      <w:pPr>
        <w:spacing w:before="240" w:line="480" w:lineRule="auto"/>
        <w:ind w:left="720" w:hanging="720"/>
        <w:rPr>
          <w:rFonts w:ascii="Times New Roman" w:eastAsia="Times New Roman" w:hAnsi="Times New Roman" w:cs="Times New Roman"/>
          <w:sz w:val="24"/>
          <w:szCs w:val="24"/>
          <w:lang w:val="en-US"/>
        </w:rPr>
      </w:pPr>
      <w:proofErr w:type="spellStart"/>
      <w:r w:rsidRPr="000B694D">
        <w:rPr>
          <w:rFonts w:ascii="Times New Roman" w:eastAsia="Times New Roman" w:hAnsi="Times New Roman" w:cs="Times New Roman"/>
          <w:sz w:val="24"/>
          <w:szCs w:val="24"/>
          <w:lang w:val="en-US"/>
        </w:rPr>
        <w:t>Derlet</w:t>
      </w:r>
      <w:proofErr w:type="spellEnd"/>
      <w:r w:rsidRPr="000B694D">
        <w:rPr>
          <w:rFonts w:ascii="Times New Roman" w:eastAsia="Times New Roman" w:hAnsi="Times New Roman" w:cs="Times New Roman"/>
          <w:sz w:val="24"/>
          <w:szCs w:val="24"/>
          <w:lang w:val="en-US"/>
        </w:rPr>
        <w:t xml:space="preserve">, R. W., Richards, J. R., &amp; Kravitz, R. L. (2001). Frequent overcrowding in U.S. emergency departments. </w:t>
      </w:r>
      <w:r w:rsidRPr="000B694D">
        <w:rPr>
          <w:rFonts w:ascii="Times New Roman" w:eastAsia="Times New Roman" w:hAnsi="Times New Roman" w:cs="Times New Roman"/>
          <w:i/>
          <w:iCs/>
          <w:sz w:val="24"/>
          <w:szCs w:val="24"/>
          <w:lang w:val="en-US"/>
        </w:rPr>
        <w:t>Academic Emergency Medicine, 8</w:t>
      </w:r>
      <w:r w:rsidRPr="000B694D">
        <w:rPr>
          <w:rFonts w:ascii="Times New Roman" w:eastAsia="Times New Roman" w:hAnsi="Times New Roman" w:cs="Times New Roman"/>
          <w:sz w:val="24"/>
          <w:szCs w:val="24"/>
          <w:lang w:val="en-US"/>
        </w:rPr>
        <w:t xml:space="preserve">(2), 151–155. </w:t>
      </w:r>
      <w:hyperlink r:id="rId23">
        <w:r w:rsidRPr="000B694D">
          <w:rPr>
            <w:rStyle w:val="Hyperlink"/>
            <w:rFonts w:ascii="Times New Roman" w:eastAsia="Times New Roman" w:hAnsi="Times New Roman" w:cs="Times New Roman"/>
            <w:sz w:val="24"/>
            <w:szCs w:val="24"/>
            <w:lang w:val="en-US"/>
          </w:rPr>
          <w:t>https://doi.org/10.1111/j.1553-2712.2001.tb01280.x</w:t>
        </w:r>
      </w:hyperlink>
    </w:p>
    <w:p w14:paraId="3705A2BC" w14:textId="25C2B607" w:rsidR="7B07D455" w:rsidRPr="000B694D" w:rsidRDefault="7B07D455" w:rsidP="0E88A7E2">
      <w:pPr>
        <w:spacing w:before="240" w:line="480" w:lineRule="auto"/>
        <w:ind w:left="720" w:hanging="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lang w:val="en-US"/>
        </w:rPr>
        <w:t xml:space="preserve">Dong, E., Du, H., &amp; Gardner, L. (2020). An interactive web-based dashboard to track COVID-19 in real time. </w:t>
      </w:r>
      <w:r w:rsidRPr="000B694D">
        <w:rPr>
          <w:rFonts w:ascii="Times New Roman" w:eastAsia="Times New Roman" w:hAnsi="Times New Roman" w:cs="Times New Roman"/>
          <w:i/>
          <w:iCs/>
          <w:sz w:val="24"/>
          <w:szCs w:val="24"/>
          <w:lang w:val="en-US"/>
        </w:rPr>
        <w:t>The Lancet Infectious Diseases, 20</w:t>
      </w:r>
      <w:r w:rsidRPr="000B694D">
        <w:rPr>
          <w:rFonts w:ascii="Times New Roman" w:eastAsia="Times New Roman" w:hAnsi="Times New Roman" w:cs="Times New Roman"/>
          <w:sz w:val="24"/>
          <w:szCs w:val="24"/>
          <w:lang w:val="en-US"/>
        </w:rPr>
        <w:t xml:space="preserve">(5), 533–534. </w:t>
      </w:r>
      <w:hyperlink r:id="rId24">
        <w:r w:rsidRPr="000B694D">
          <w:rPr>
            <w:rStyle w:val="Hyperlink"/>
            <w:rFonts w:ascii="Times New Roman" w:eastAsia="Times New Roman" w:hAnsi="Times New Roman" w:cs="Times New Roman"/>
            <w:sz w:val="24"/>
            <w:szCs w:val="24"/>
            <w:lang w:val="en-US"/>
          </w:rPr>
          <w:t>https://doi.org/10.1016/S1473-3099(20)30120-1</w:t>
        </w:r>
      </w:hyperlink>
    </w:p>
    <w:p w14:paraId="72BAD957" w14:textId="58562214" w:rsidR="11196A2F" w:rsidRPr="000B694D" w:rsidRDefault="11196A2F" w:rsidP="0E88A7E2">
      <w:pPr>
        <w:spacing w:before="240" w:after="240" w:line="480" w:lineRule="auto"/>
        <w:ind w:left="720" w:hanging="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 xml:space="preserve">Dynan, L., &amp; Smith, R. B. (2022). Sources of nurse‐sensitive inpatient safety improvement. </w:t>
      </w:r>
      <w:r w:rsidRPr="000B694D">
        <w:rPr>
          <w:rFonts w:ascii="Times New Roman" w:eastAsia="Times New Roman" w:hAnsi="Times New Roman" w:cs="Times New Roman"/>
          <w:i/>
          <w:iCs/>
          <w:sz w:val="24"/>
          <w:szCs w:val="24"/>
        </w:rPr>
        <w:t>Health Services Research, 57</w:t>
      </w:r>
      <w:r w:rsidRPr="000B694D">
        <w:rPr>
          <w:rFonts w:ascii="Times New Roman" w:eastAsia="Times New Roman" w:hAnsi="Times New Roman" w:cs="Times New Roman"/>
          <w:sz w:val="24"/>
          <w:szCs w:val="24"/>
        </w:rPr>
        <w:t xml:space="preserve">(6), 1292–1301. </w:t>
      </w:r>
      <w:hyperlink r:id="rId25">
        <w:r w:rsidRPr="000B694D">
          <w:rPr>
            <w:rStyle w:val="Hyperlink"/>
            <w:rFonts w:ascii="Times New Roman" w:eastAsia="Times New Roman" w:hAnsi="Times New Roman" w:cs="Times New Roman"/>
            <w:sz w:val="24"/>
            <w:szCs w:val="24"/>
          </w:rPr>
          <w:t>https://doi.org/10.1111/1475-6773.13979</w:t>
        </w:r>
      </w:hyperlink>
    </w:p>
    <w:p w14:paraId="718A30FF" w14:textId="09A27023" w:rsidR="5A53DA9A" w:rsidRDefault="5A53DA9A" w:rsidP="0E88A7E2">
      <w:pPr>
        <w:spacing w:before="240" w:after="240" w:line="480" w:lineRule="auto"/>
        <w:ind w:left="720" w:hanging="720"/>
        <w:rPr>
          <w:rFonts w:ascii="Times New Roman" w:hAnsi="Times New Roman" w:cs="Times New Roman"/>
          <w:sz w:val="24"/>
          <w:szCs w:val="24"/>
        </w:rPr>
      </w:pPr>
      <w:proofErr w:type="spellStart"/>
      <w:r w:rsidRPr="000B694D">
        <w:rPr>
          <w:rFonts w:ascii="Times New Roman" w:eastAsia="Times New Roman" w:hAnsi="Times New Roman" w:cs="Times New Roman"/>
          <w:sz w:val="24"/>
          <w:szCs w:val="24"/>
          <w:lang w:val="en-US"/>
        </w:rPr>
        <w:lastRenderedPageBreak/>
        <w:t>Enumah</w:t>
      </w:r>
      <w:proofErr w:type="spellEnd"/>
      <w:r w:rsidRPr="000B694D">
        <w:rPr>
          <w:rFonts w:ascii="Times New Roman" w:eastAsia="Times New Roman" w:hAnsi="Times New Roman" w:cs="Times New Roman"/>
          <w:sz w:val="24"/>
          <w:szCs w:val="24"/>
          <w:lang w:val="en-US"/>
        </w:rPr>
        <w:t xml:space="preserve">, S. J., Resnick, A. S., &amp; Chang, D. C. (2022). Association of measured quality with financial health among U.S. hospitals. </w:t>
      </w:r>
      <w:r w:rsidRPr="000B694D">
        <w:rPr>
          <w:rFonts w:ascii="Times New Roman" w:eastAsia="Times New Roman" w:hAnsi="Times New Roman" w:cs="Times New Roman"/>
          <w:i/>
          <w:iCs/>
          <w:sz w:val="24"/>
          <w:szCs w:val="24"/>
          <w:lang w:val="en-US"/>
        </w:rPr>
        <w:t>PLOS ONE, 17</w:t>
      </w:r>
      <w:r w:rsidRPr="000B694D">
        <w:rPr>
          <w:rFonts w:ascii="Times New Roman" w:eastAsia="Times New Roman" w:hAnsi="Times New Roman" w:cs="Times New Roman"/>
          <w:sz w:val="24"/>
          <w:szCs w:val="24"/>
          <w:lang w:val="en-US"/>
        </w:rPr>
        <w:t xml:space="preserve">(4), e0266696. </w:t>
      </w:r>
      <w:hyperlink r:id="rId26">
        <w:r w:rsidRPr="000B694D">
          <w:rPr>
            <w:rStyle w:val="Hyperlink"/>
            <w:rFonts w:ascii="Times New Roman" w:eastAsia="Times New Roman" w:hAnsi="Times New Roman" w:cs="Times New Roman"/>
            <w:sz w:val="24"/>
            <w:szCs w:val="24"/>
            <w:lang w:val="en-US"/>
          </w:rPr>
          <w:t>https://doi.org/10.1371/journal.pone.0266696</w:t>
        </w:r>
      </w:hyperlink>
    </w:p>
    <w:p w14:paraId="69F4E651" w14:textId="433C90F3" w:rsidR="0098418C" w:rsidRPr="000B694D" w:rsidRDefault="0098418C" w:rsidP="0098418C">
      <w:pPr>
        <w:spacing w:before="240" w:after="240" w:line="480" w:lineRule="auto"/>
        <w:ind w:left="720" w:hanging="720"/>
        <w:rPr>
          <w:rFonts w:ascii="Times New Roman" w:eastAsia="Times New Roman" w:hAnsi="Times New Roman" w:cs="Times New Roman"/>
          <w:sz w:val="24"/>
          <w:szCs w:val="24"/>
          <w:lang w:val="en-US"/>
        </w:rPr>
      </w:pPr>
      <w:proofErr w:type="spellStart"/>
      <w:r w:rsidRPr="000B694D">
        <w:rPr>
          <w:rFonts w:ascii="Times New Roman" w:eastAsia="Times New Roman" w:hAnsi="Times New Roman" w:cs="Times New Roman"/>
          <w:sz w:val="24"/>
          <w:szCs w:val="24"/>
          <w:lang w:val="en-US"/>
        </w:rPr>
        <w:t>Gangopadhyaya</w:t>
      </w:r>
      <w:proofErr w:type="spellEnd"/>
      <w:r w:rsidRPr="000B694D">
        <w:rPr>
          <w:rFonts w:ascii="Times New Roman" w:eastAsia="Times New Roman" w:hAnsi="Times New Roman" w:cs="Times New Roman"/>
          <w:sz w:val="24"/>
          <w:szCs w:val="24"/>
          <w:lang w:val="en-US"/>
        </w:rPr>
        <w:t xml:space="preserve">, A., Pugazhendhi, A., Austin, M., Campione, A., &amp; Danforth, M. (2023). </w:t>
      </w:r>
      <w:r w:rsidRPr="000B694D">
        <w:rPr>
          <w:rFonts w:ascii="Times New Roman" w:eastAsia="Times New Roman" w:hAnsi="Times New Roman" w:cs="Times New Roman"/>
          <w:i/>
          <w:iCs/>
          <w:sz w:val="24"/>
          <w:szCs w:val="24"/>
          <w:lang w:val="en-US"/>
        </w:rPr>
        <w:t>Racial, ethnic, and payer disparities in adverse safety events: Are there differences across Leapfrog Hospital Safety Grades?</w:t>
      </w:r>
      <w:r w:rsidRPr="000B694D">
        <w:rPr>
          <w:rFonts w:ascii="Times New Roman" w:eastAsia="Times New Roman" w:hAnsi="Times New Roman" w:cs="Times New Roman"/>
          <w:sz w:val="24"/>
          <w:szCs w:val="24"/>
          <w:lang w:val="en-US"/>
        </w:rPr>
        <w:t xml:space="preserve"> The Leapfrog Group. </w:t>
      </w:r>
      <w:hyperlink r:id="rId27">
        <w:r w:rsidRPr="000B694D">
          <w:rPr>
            <w:rStyle w:val="Hyperlink"/>
            <w:rFonts w:ascii="Times New Roman" w:eastAsia="Times New Roman" w:hAnsi="Times New Roman" w:cs="Times New Roman"/>
            <w:sz w:val="24"/>
            <w:szCs w:val="24"/>
            <w:lang w:val="en-US"/>
          </w:rPr>
          <w:t>https://www.leapfroggroup.org/racial-ethnic-and-payer-disparities-adverse-safety-events-are-there-differences-across-leapfrog</w:t>
        </w:r>
      </w:hyperlink>
    </w:p>
    <w:p w14:paraId="2485164F" w14:textId="5930DA26" w:rsidR="1F411DF2" w:rsidRPr="000B694D" w:rsidRDefault="1F411DF2" w:rsidP="0E88A7E2">
      <w:pPr>
        <w:spacing w:before="240" w:after="240" w:line="480" w:lineRule="auto"/>
        <w:ind w:left="720" w:hanging="720"/>
        <w:rPr>
          <w:rFonts w:ascii="Times New Roman" w:eastAsia="Times New Roman" w:hAnsi="Times New Roman" w:cs="Times New Roman"/>
          <w:sz w:val="24"/>
          <w:szCs w:val="24"/>
          <w:lang w:val="en-US"/>
        </w:rPr>
      </w:pPr>
      <w:proofErr w:type="spellStart"/>
      <w:r w:rsidRPr="000B694D">
        <w:rPr>
          <w:rFonts w:ascii="Times New Roman" w:eastAsia="Times New Roman" w:hAnsi="Times New Roman" w:cs="Times New Roman"/>
          <w:sz w:val="24"/>
          <w:szCs w:val="24"/>
          <w:lang w:val="en-US"/>
        </w:rPr>
        <w:t>Ghazisaeidi</w:t>
      </w:r>
      <w:proofErr w:type="spellEnd"/>
      <w:r w:rsidRPr="000B694D">
        <w:rPr>
          <w:rFonts w:ascii="Times New Roman" w:eastAsia="Times New Roman" w:hAnsi="Times New Roman" w:cs="Times New Roman"/>
          <w:sz w:val="24"/>
          <w:szCs w:val="24"/>
          <w:lang w:val="en-US"/>
        </w:rPr>
        <w:t xml:space="preserve">, M., Safdari, R., Torabi, M., Mirzaee, M., </w:t>
      </w:r>
      <w:proofErr w:type="spellStart"/>
      <w:r w:rsidRPr="000B694D">
        <w:rPr>
          <w:rFonts w:ascii="Times New Roman" w:eastAsia="Times New Roman" w:hAnsi="Times New Roman" w:cs="Times New Roman"/>
          <w:sz w:val="24"/>
          <w:szCs w:val="24"/>
          <w:lang w:val="en-US"/>
        </w:rPr>
        <w:t>Farzi</w:t>
      </w:r>
      <w:proofErr w:type="spellEnd"/>
      <w:r w:rsidRPr="000B694D">
        <w:rPr>
          <w:rFonts w:ascii="Times New Roman" w:eastAsia="Times New Roman" w:hAnsi="Times New Roman" w:cs="Times New Roman"/>
          <w:sz w:val="24"/>
          <w:szCs w:val="24"/>
          <w:lang w:val="en-US"/>
        </w:rPr>
        <w:t xml:space="preserve">, J., &amp; </w:t>
      </w:r>
      <w:proofErr w:type="spellStart"/>
      <w:r w:rsidRPr="000B694D">
        <w:rPr>
          <w:rFonts w:ascii="Times New Roman" w:eastAsia="Times New Roman" w:hAnsi="Times New Roman" w:cs="Times New Roman"/>
          <w:sz w:val="24"/>
          <w:szCs w:val="24"/>
          <w:lang w:val="en-US"/>
        </w:rPr>
        <w:t>Goodini</w:t>
      </w:r>
      <w:proofErr w:type="spellEnd"/>
      <w:r w:rsidRPr="000B694D">
        <w:rPr>
          <w:rFonts w:ascii="Times New Roman" w:eastAsia="Times New Roman" w:hAnsi="Times New Roman" w:cs="Times New Roman"/>
          <w:sz w:val="24"/>
          <w:szCs w:val="24"/>
          <w:lang w:val="en-US"/>
        </w:rPr>
        <w:t xml:space="preserve">, A. (2015). Development of performance dashboards in </w:t>
      </w:r>
      <w:proofErr w:type="gramStart"/>
      <w:r w:rsidRPr="000B694D">
        <w:rPr>
          <w:rFonts w:ascii="Times New Roman" w:eastAsia="Times New Roman" w:hAnsi="Times New Roman" w:cs="Times New Roman"/>
          <w:sz w:val="24"/>
          <w:szCs w:val="24"/>
          <w:lang w:val="en-US"/>
        </w:rPr>
        <w:t>healthcare</w:t>
      </w:r>
      <w:proofErr w:type="gramEnd"/>
      <w:r w:rsidRPr="000B694D">
        <w:rPr>
          <w:rFonts w:ascii="Times New Roman" w:eastAsia="Times New Roman" w:hAnsi="Times New Roman" w:cs="Times New Roman"/>
          <w:sz w:val="24"/>
          <w:szCs w:val="24"/>
          <w:lang w:val="en-US"/>
        </w:rPr>
        <w:t xml:space="preserve"> sector: Key practical issues. </w:t>
      </w:r>
      <w:r w:rsidRPr="000B694D">
        <w:rPr>
          <w:rFonts w:ascii="Times New Roman" w:eastAsia="Times New Roman" w:hAnsi="Times New Roman" w:cs="Times New Roman"/>
          <w:i/>
          <w:iCs/>
          <w:sz w:val="24"/>
          <w:szCs w:val="24"/>
          <w:lang w:val="en-US"/>
        </w:rPr>
        <w:t>Acta Informatica Medica, 23</w:t>
      </w:r>
      <w:r w:rsidRPr="000B694D">
        <w:rPr>
          <w:rFonts w:ascii="Times New Roman" w:eastAsia="Times New Roman" w:hAnsi="Times New Roman" w:cs="Times New Roman"/>
          <w:sz w:val="24"/>
          <w:szCs w:val="24"/>
          <w:lang w:val="en-US"/>
        </w:rPr>
        <w:t xml:space="preserve">(5), 317–321. </w:t>
      </w:r>
      <w:hyperlink r:id="rId28">
        <w:r w:rsidRPr="000B694D">
          <w:rPr>
            <w:rStyle w:val="Hyperlink"/>
            <w:rFonts w:ascii="Times New Roman" w:eastAsia="Times New Roman" w:hAnsi="Times New Roman" w:cs="Times New Roman"/>
            <w:sz w:val="24"/>
            <w:szCs w:val="24"/>
            <w:lang w:val="en-US"/>
          </w:rPr>
          <w:t>https://doi.org/10.5455/aim.2015.23.317-321</w:t>
        </w:r>
      </w:hyperlink>
    </w:p>
    <w:p w14:paraId="19F1D5F1" w14:textId="41F2A651" w:rsidR="0E88A7E2" w:rsidRPr="00BE146F" w:rsidRDefault="6961CF90" w:rsidP="00BE146F">
      <w:pPr>
        <w:spacing w:before="240" w:after="240"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Gotz, D., &amp; Borland, D. (2016). Data-driven healthcare: Challenges and opportunities for interactive visualization. </w:t>
      </w:r>
      <w:r w:rsidRPr="000B694D">
        <w:rPr>
          <w:rFonts w:ascii="Times New Roman" w:eastAsia="Times New Roman" w:hAnsi="Times New Roman" w:cs="Times New Roman"/>
          <w:i/>
          <w:iCs/>
          <w:sz w:val="24"/>
          <w:szCs w:val="24"/>
          <w:lang w:val="en-US"/>
        </w:rPr>
        <w:t>IEEE Computer Graphics and Applications, 36</w:t>
      </w:r>
      <w:r w:rsidRPr="000B694D">
        <w:rPr>
          <w:rFonts w:ascii="Times New Roman" w:eastAsia="Times New Roman" w:hAnsi="Times New Roman" w:cs="Times New Roman"/>
          <w:sz w:val="24"/>
          <w:szCs w:val="24"/>
          <w:lang w:val="en-US"/>
        </w:rPr>
        <w:t xml:space="preserve">(3), 90–96. </w:t>
      </w:r>
      <w:hyperlink r:id="rId29">
        <w:r w:rsidRPr="000B694D">
          <w:rPr>
            <w:rStyle w:val="Hyperlink"/>
            <w:rFonts w:ascii="Times New Roman" w:eastAsia="Times New Roman" w:hAnsi="Times New Roman" w:cs="Times New Roman"/>
            <w:sz w:val="24"/>
            <w:szCs w:val="24"/>
            <w:lang w:val="en-US"/>
          </w:rPr>
          <w:t>https://doi.org/10.1109/mcg.2016.59</w:t>
        </w:r>
      </w:hyperlink>
    </w:p>
    <w:p w14:paraId="1CCFD479" w14:textId="54ED3747" w:rsidR="09567D59" w:rsidRPr="000B694D" w:rsidRDefault="09567D59" w:rsidP="0E88A7E2">
      <w:pPr>
        <w:spacing w:before="240"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Griffiths, P., Saville, C., Ball, J., </w:t>
      </w:r>
      <w:proofErr w:type="spellStart"/>
      <w:r w:rsidRPr="000B694D">
        <w:rPr>
          <w:rFonts w:ascii="Times New Roman" w:eastAsia="Times New Roman" w:hAnsi="Times New Roman" w:cs="Times New Roman"/>
          <w:sz w:val="24"/>
          <w:szCs w:val="24"/>
          <w:lang w:val="en-US"/>
        </w:rPr>
        <w:t>Dall’Ora</w:t>
      </w:r>
      <w:proofErr w:type="spellEnd"/>
      <w:r w:rsidRPr="000B694D">
        <w:rPr>
          <w:rFonts w:ascii="Times New Roman" w:eastAsia="Times New Roman" w:hAnsi="Times New Roman" w:cs="Times New Roman"/>
          <w:sz w:val="24"/>
          <w:szCs w:val="24"/>
          <w:lang w:val="en-US"/>
        </w:rPr>
        <w:t xml:space="preserve">, C., Meredith, P., Turner, L., &amp; Jones, J. (2023). Costs and cost-effectiveness of improved nurse staffing levels and skill mix in acute hospitals: A systematic review. </w:t>
      </w:r>
      <w:r w:rsidRPr="000B694D">
        <w:rPr>
          <w:rFonts w:ascii="Times New Roman" w:eastAsia="Times New Roman" w:hAnsi="Times New Roman" w:cs="Times New Roman"/>
          <w:i/>
          <w:iCs/>
          <w:sz w:val="24"/>
          <w:szCs w:val="24"/>
          <w:lang w:val="en-US"/>
        </w:rPr>
        <w:t>International Journal of Nursing Studies, 147</w:t>
      </w:r>
      <w:r w:rsidRPr="000B694D">
        <w:rPr>
          <w:rFonts w:ascii="Times New Roman" w:eastAsia="Times New Roman" w:hAnsi="Times New Roman" w:cs="Times New Roman"/>
          <w:sz w:val="24"/>
          <w:szCs w:val="24"/>
          <w:lang w:val="en-US"/>
        </w:rPr>
        <w:t xml:space="preserve">, 104601. </w:t>
      </w:r>
      <w:hyperlink r:id="rId30">
        <w:r w:rsidRPr="000B694D">
          <w:rPr>
            <w:rStyle w:val="Hyperlink"/>
            <w:rFonts w:ascii="Times New Roman" w:eastAsia="Times New Roman" w:hAnsi="Times New Roman" w:cs="Times New Roman"/>
            <w:sz w:val="24"/>
            <w:szCs w:val="24"/>
            <w:lang w:val="en-US"/>
          </w:rPr>
          <w:t>https://doi.org/10.1016/j.ijnurstu.2023.104601</w:t>
        </w:r>
      </w:hyperlink>
    </w:p>
    <w:p w14:paraId="57C47ED4" w14:textId="788C2C3F" w:rsidR="0E88A7E2" w:rsidRPr="0098418C" w:rsidRDefault="09567D59" w:rsidP="0098418C">
      <w:pPr>
        <w:spacing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Guerrero, J. G., Alqarni, A. S., Cordero, R. P., </w:t>
      </w:r>
      <w:proofErr w:type="spellStart"/>
      <w:r w:rsidRPr="000B694D">
        <w:rPr>
          <w:rFonts w:ascii="Times New Roman" w:eastAsia="Times New Roman" w:hAnsi="Times New Roman" w:cs="Times New Roman"/>
          <w:sz w:val="24"/>
          <w:szCs w:val="24"/>
          <w:lang w:val="en-US"/>
        </w:rPr>
        <w:t>Aljarrah</w:t>
      </w:r>
      <w:proofErr w:type="spellEnd"/>
      <w:r w:rsidRPr="000B694D">
        <w:rPr>
          <w:rFonts w:ascii="Times New Roman" w:eastAsia="Times New Roman" w:hAnsi="Times New Roman" w:cs="Times New Roman"/>
          <w:sz w:val="24"/>
          <w:szCs w:val="24"/>
          <w:lang w:val="en-US"/>
        </w:rPr>
        <w:t xml:space="preserve">, I., &amp; </w:t>
      </w:r>
      <w:proofErr w:type="spellStart"/>
      <w:r w:rsidRPr="000B694D">
        <w:rPr>
          <w:rFonts w:ascii="Times New Roman" w:eastAsia="Times New Roman" w:hAnsi="Times New Roman" w:cs="Times New Roman"/>
          <w:sz w:val="24"/>
          <w:szCs w:val="24"/>
          <w:lang w:val="en-US"/>
        </w:rPr>
        <w:t>Almahaid</w:t>
      </w:r>
      <w:proofErr w:type="spellEnd"/>
      <w:r w:rsidRPr="000B694D">
        <w:rPr>
          <w:rFonts w:ascii="Times New Roman" w:eastAsia="Times New Roman" w:hAnsi="Times New Roman" w:cs="Times New Roman"/>
          <w:sz w:val="24"/>
          <w:szCs w:val="24"/>
          <w:lang w:val="en-US"/>
        </w:rPr>
        <w:t xml:space="preserve">, M. A. (2024). Perceived causes and effects of overcrowding among nurses in the emergency departments of tertiary hospitals: A multicenter study. </w:t>
      </w:r>
      <w:r w:rsidRPr="000B694D">
        <w:rPr>
          <w:rFonts w:ascii="Times New Roman" w:eastAsia="Times New Roman" w:hAnsi="Times New Roman" w:cs="Times New Roman"/>
          <w:i/>
          <w:iCs/>
          <w:sz w:val="24"/>
          <w:szCs w:val="24"/>
          <w:lang w:val="en-US"/>
        </w:rPr>
        <w:t>Risk Management and Healthcare Policy, 17</w:t>
      </w:r>
      <w:r w:rsidRPr="000B694D">
        <w:rPr>
          <w:rFonts w:ascii="Times New Roman" w:eastAsia="Times New Roman" w:hAnsi="Times New Roman" w:cs="Times New Roman"/>
          <w:sz w:val="24"/>
          <w:szCs w:val="24"/>
          <w:lang w:val="en-US"/>
        </w:rPr>
        <w:t xml:space="preserve">, 973–982. </w:t>
      </w:r>
      <w:hyperlink r:id="rId31">
        <w:r w:rsidRPr="000B694D">
          <w:rPr>
            <w:rStyle w:val="Hyperlink"/>
            <w:rFonts w:ascii="Times New Roman" w:eastAsia="Times New Roman" w:hAnsi="Times New Roman" w:cs="Times New Roman"/>
            <w:sz w:val="24"/>
            <w:szCs w:val="24"/>
            <w:lang w:val="en-US"/>
          </w:rPr>
          <w:t>https://doi.org/10.2147/RMHP.S454925</w:t>
        </w:r>
      </w:hyperlink>
    </w:p>
    <w:p w14:paraId="5A2C647D" w14:textId="14E35130" w:rsidR="0E88A7E2" w:rsidRDefault="6B0D969A" w:rsidP="00BE146F">
      <w:pPr>
        <w:spacing w:before="240" w:line="480" w:lineRule="auto"/>
        <w:ind w:left="720" w:hanging="720"/>
        <w:rPr>
          <w:rFonts w:ascii="Times New Roman" w:hAnsi="Times New Roman" w:cs="Times New Roman"/>
          <w:sz w:val="24"/>
          <w:szCs w:val="24"/>
        </w:rPr>
      </w:pPr>
      <w:r w:rsidRPr="000B694D">
        <w:rPr>
          <w:rFonts w:ascii="Times New Roman" w:eastAsia="Times New Roman" w:hAnsi="Times New Roman" w:cs="Times New Roman"/>
          <w:sz w:val="24"/>
          <w:szCs w:val="24"/>
        </w:rPr>
        <w:lastRenderedPageBreak/>
        <w:t xml:space="preserve">Haley, R. W., &amp; Bregman, D. A. (1982). The role of understaffing and overcrowding in recurrent outbreaks of staphylococcal infection in a neonatal special-care unit. </w:t>
      </w:r>
      <w:r w:rsidRPr="000B694D">
        <w:rPr>
          <w:rFonts w:ascii="Times New Roman" w:eastAsia="Times New Roman" w:hAnsi="Times New Roman" w:cs="Times New Roman"/>
          <w:i/>
          <w:iCs/>
          <w:sz w:val="24"/>
          <w:szCs w:val="24"/>
        </w:rPr>
        <w:t>Journal of Infectious Diseases, 145</w:t>
      </w:r>
      <w:r w:rsidRPr="000B694D">
        <w:rPr>
          <w:rFonts w:ascii="Times New Roman" w:eastAsia="Times New Roman" w:hAnsi="Times New Roman" w:cs="Times New Roman"/>
          <w:sz w:val="24"/>
          <w:szCs w:val="24"/>
        </w:rPr>
        <w:t xml:space="preserve">(6), 875–885. </w:t>
      </w:r>
      <w:hyperlink r:id="rId32">
        <w:r w:rsidRPr="000B694D">
          <w:rPr>
            <w:rStyle w:val="Hyperlink"/>
            <w:rFonts w:ascii="Times New Roman" w:eastAsia="Times New Roman" w:hAnsi="Times New Roman" w:cs="Times New Roman"/>
            <w:sz w:val="24"/>
            <w:szCs w:val="24"/>
          </w:rPr>
          <w:t>https://doi.org/10.1093/infdis/145.6.875</w:t>
        </w:r>
      </w:hyperlink>
    </w:p>
    <w:p w14:paraId="0B0CA4F9" w14:textId="47DCB157" w:rsidR="0098418C" w:rsidRPr="0098418C" w:rsidRDefault="0098418C" w:rsidP="0098418C">
      <w:pPr>
        <w:spacing w:before="240" w:after="240"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Harrison, J. M., Aiken, L. H., Sloane, D. M., Brooks Carthon, J. M., Merchant, R. M., Berg, R. A., &amp; McHugh, M. D. (2019). In hospitals with more nurses who have baccalaureate degrees, better outcomes for patients after cardiac arrest. </w:t>
      </w:r>
      <w:r w:rsidRPr="000B694D">
        <w:rPr>
          <w:rFonts w:ascii="Times New Roman" w:eastAsia="Times New Roman" w:hAnsi="Times New Roman" w:cs="Times New Roman"/>
          <w:i/>
          <w:iCs/>
          <w:sz w:val="24"/>
          <w:szCs w:val="24"/>
          <w:lang w:val="en-US"/>
        </w:rPr>
        <w:t>Health Affairs, 38</w:t>
      </w:r>
      <w:r w:rsidRPr="000B694D">
        <w:rPr>
          <w:rFonts w:ascii="Times New Roman" w:eastAsia="Times New Roman" w:hAnsi="Times New Roman" w:cs="Times New Roman"/>
          <w:sz w:val="24"/>
          <w:szCs w:val="24"/>
          <w:lang w:val="en-US"/>
        </w:rPr>
        <w:t xml:space="preserve">(7), 1087–1094. </w:t>
      </w:r>
      <w:hyperlink r:id="rId33">
        <w:r w:rsidRPr="000B694D">
          <w:rPr>
            <w:rStyle w:val="Hyperlink"/>
            <w:rFonts w:ascii="Times New Roman" w:eastAsia="Times New Roman" w:hAnsi="Times New Roman" w:cs="Times New Roman"/>
            <w:sz w:val="24"/>
            <w:szCs w:val="24"/>
            <w:lang w:val="en-US"/>
          </w:rPr>
          <w:t>https://doi.org/10.1377/hlthaff.2018.05064</w:t>
        </w:r>
      </w:hyperlink>
    </w:p>
    <w:p w14:paraId="0D649AB5" w14:textId="6FAE5728" w:rsidR="0E88A7E2" w:rsidRPr="000B694D" w:rsidRDefault="6B0D969A" w:rsidP="00BE146F">
      <w:pPr>
        <w:spacing w:before="240" w:after="240" w:line="480" w:lineRule="auto"/>
        <w:ind w:left="720" w:hanging="720"/>
        <w:rPr>
          <w:rFonts w:ascii="Times New Roman" w:eastAsia="Times New Roman" w:hAnsi="Times New Roman" w:cs="Times New Roman"/>
          <w:sz w:val="24"/>
          <w:szCs w:val="24"/>
          <w:lang w:val="en-US"/>
        </w:rPr>
      </w:pPr>
      <w:proofErr w:type="spellStart"/>
      <w:r w:rsidRPr="000B694D">
        <w:rPr>
          <w:rFonts w:ascii="Times New Roman" w:eastAsia="Times New Roman" w:hAnsi="Times New Roman" w:cs="Times New Roman"/>
          <w:sz w:val="24"/>
          <w:szCs w:val="24"/>
          <w:lang w:val="en-US"/>
        </w:rPr>
        <w:t>Kachalia</w:t>
      </w:r>
      <w:proofErr w:type="spellEnd"/>
      <w:r w:rsidRPr="000B694D">
        <w:rPr>
          <w:rFonts w:ascii="Times New Roman" w:eastAsia="Times New Roman" w:hAnsi="Times New Roman" w:cs="Times New Roman"/>
          <w:sz w:val="24"/>
          <w:szCs w:val="24"/>
          <w:lang w:val="en-US"/>
        </w:rPr>
        <w:t xml:space="preserve">, A., Mello, M. M., Nallamothu, B. K., &amp; Studdert, D. M. (2016). Legal and policy interventions to improve patient safety. </w:t>
      </w:r>
      <w:r w:rsidRPr="000B694D">
        <w:rPr>
          <w:rFonts w:ascii="Times New Roman" w:eastAsia="Times New Roman" w:hAnsi="Times New Roman" w:cs="Times New Roman"/>
          <w:i/>
          <w:iCs/>
          <w:sz w:val="24"/>
          <w:szCs w:val="24"/>
          <w:lang w:val="en-US"/>
        </w:rPr>
        <w:t>Circulation, 133</w:t>
      </w:r>
      <w:r w:rsidRPr="000B694D">
        <w:rPr>
          <w:rFonts w:ascii="Times New Roman" w:eastAsia="Times New Roman" w:hAnsi="Times New Roman" w:cs="Times New Roman"/>
          <w:sz w:val="24"/>
          <w:szCs w:val="24"/>
          <w:lang w:val="en-US"/>
        </w:rPr>
        <w:t xml:space="preserve">(7), 661–671. </w:t>
      </w:r>
      <w:hyperlink r:id="rId34">
        <w:r w:rsidRPr="000B694D">
          <w:rPr>
            <w:rStyle w:val="Hyperlink"/>
            <w:rFonts w:ascii="Times New Roman" w:eastAsia="Times New Roman" w:hAnsi="Times New Roman" w:cs="Times New Roman"/>
            <w:sz w:val="24"/>
            <w:szCs w:val="24"/>
            <w:lang w:val="en-US"/>
          </w:rPr>
          <w:t>https://doi.org/10.1161/circulationaha.115.015880</w:t>
        </w:r>
      </w:hyperlink>
    </w:p>
    <w:p w14:paraId="57494B1B" w14:textId="0E5286A1" w:rsidR="0E88A7E2" w:rsidRPr="000B694D" w:rsidRDefault="1C72C69A" w:rsidP="00BE146F">
      <w:pPr>
        <w:spacing w:before="240" w:after="240"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Khairat, S. S., </w:t>
      </w:r>
      <w:proofErr w:type="spellStart"/>
      <w:r w:rsidRPr="000B694D">
        <w:rPr>
          <w:rFonts w:ascii="Times New Roman" w:eastAsia="Times New Roman" w:hAnsi="Times New Roman" w:cs="Times New Roman"/>
          <w:sz w:val="24"/>
          <w:szCs w:val="24"/>
          <w:lang w:val="en-US"/>
        </w:rPr>
        <w:t>Dukkipati</w:t>
      </w:r>
      <w:proofErr w:type="spellEnd"/>
      <w:r w:rsidRPr="000B694D">
        <w:rPr>
          <w:rFonts w:ascii="Times New Roman" w:eastAsia="Times New Roman" w:hAnsi="Times New Roman" w:cs="Times New Roman"/>
          <w:sz w:val="24"/>
          <w:szCs w:val="24"/>
          <w:lang w:val="en-US"/>
        </w:rPr>
        <w:t xml:space="preserve">, A., Lauria, H. A., Bice, T., Travers, D., &amp; Carson, S. S. (2018). The impact of visualization dashboards on quality of care and clinician satisfaction: Integrative literature review. </w:t>
      </w:r>
      <w:r w:rsidRPr="000B694D">
        <w:rPr>
          <w:rFonts w:ascii="Times New Roman" w:eastAsia="Times New Roman" w:hAnsi="Times New Roman" w:cs="Times New Roman"/>
          <w:i/>
          <w:iCs/>
          <w:sz w:val="24"/>
          <w:szCs w:val="24"/>
          <w:lang w:val="en-US"/>
        </w:rPr>
        <w:t>JMIR Human Factors, 5</w:t>
      </w:r>
      <w:r w:rsidRPr="000B694D">
        <w:rPr>
          <w:rFonts w:ascii="Times New Roman" w:eastAsia="Times New Roman" w:hAnsi="Times New Roman" w:cs="Times New Roman"/>
          <w:sz w:val="24"/>
          <w:szCs w:val="24"/>
          <w:lang w:val="en-US"/>
        </w:rPr>
        <w:t xml:space="preserve">(2), e9328. </w:t>
      </w:r>
      <w:hyperlink r:id="rId35">
        <w:r w:rsidRPr="000B694D">
          <w:rPr>
            <w:rStyle w:val="Hyperlink"/>
            <w:rFonts w:ascii="Times New Roman" w:eastAsia="Times New Roman" w:hAnsi="Times New Roman" w:cs="Times New Roman"/>
            <w:sz w:val="24"/>
            <w:szCs w:val="24"/>
            <w:lang w:val="en-US"/>
          </w:rPr>
          <w:t>https://doi.org/10.2196/humanfactors.9328</w:t>
        </w:r>
      </w:hyperlink>
    </w:p>
    <w:p w14:paraId="2538DD56" w14:textId="0F0393F3" w:rsidR="0E88A7E2" w:rsidRPr="000B694D" w:rsidRDefault="3D8C6212" w:rsidP="00BE146F">
      <w:pPr>
        <w:spacing w:before="240" w:after="240" w:line="480" w:lineRule="auto"/>
        <w:ind w:left="720" w:hanging="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 xml:space="preserve">Lasater, K. B., Aiken, L. H., Sloane, D., French, R., Martin, B., Alexander, M., &amp; McHugh, M. D. (2021). Patient outcomes and cost savings associated with hospital safe nurse staffing legislation: An observational study. </w:t>
      </w:r>
      <w:r w:rsidRPr="000B694D">
        <w:rPr>
          <w:rFonts w:ascii="Times New Roman" w:eastAsia="Times New Roman" w:hAnsi="Times New Roman" w:cs="Times New Roman"/>
          <w:i/>
          <w:iCs/>
          <w:sz w:val="24"/>
          <w:szCs w:val="24"/>
        </w:rPr>
        <w:t>BMJ Open, 11</w:t>
      </w:r>
      <w:r w:rsidRPr="000B694D">
        <w:rPr>
          <w:rFonts w:ascii="Times New Roman" w:eastAsia="Times New Roman" w:hAnsi="Times New Roman" w:cs="Times New Roman"/>
          <w:sz w:val="24"/>
          <w:szCs w:val="24"/>
        </w:rPr>
        <w:t xml:space="preserve">(12), e052899. </w:t>
      </w:r>
      <w:hyperlink r:id="rId36">
        <w:r w:rsidRPr="000B694D">
          <w:rPr>
            <w:rStyle w:val="Hyperlink"/>
            <w:rFonts w:ascii="Times New Roman" w:eastAsia="Times New Roman" w:hAnsi="Times New Roman" w:cs="Times New Roman"/>
            <w:sz w:val="24"/>
            <w:szCs w:val="24"/>
          </w:rPr>
          <w:t>https://doi.org/10.1136/bmjopen-2021-052899</w:t>
        </w:r>
      </w:hyperlink>
    </w:p>
    <w:p w14:paraId="11BBFA3B" w14:textId="7F64F5D6" w:rsidR="43F61B47" w:rsidRPr="000B694D" w:rsidRDefault="43F61B47" w:rsidP="0E88A7E2">
      <w:pPr>
        <w:spacing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McCoy, A. B., Thomas, E. J., </w:t>
      </w:r>
      <w:proofErr w:type="spellStart"/>
      <w:r w:rsidRPr="000B694D">
        <w:rPr>
          <w:rFonts w:ascii="Times New Roman" w:eastAsia="Times New Roman" w:hAnsi="Times New Roman" w:cs="Times New Roman"/>
          <w:sz w:val="24"/>
          <w:szCs w:val="24"/>
          <w:lang w:val="en-US"/>
        </w:rPr>
        <w:t>Krousel</w:t>
      </w:r>
      <w:proofErr w:type="spellEnd"/>
      <w:r w:rsidRPr="000B694D">
        <w:rPr>
          <w:rFonts w:ascii="Times New Roman" w:eastAsia="Times New Roman" w:hAnsi="Times New Roman" w:cs="Times New Roman"/>
          <w:sz w:val="24"/>
          <w:szCs w:val="24"/>
          <w:lang w:val="en-US"/>
        </w:rPr>
        <w:t xml:space="preserve">-Wood, M., &amp; Sittig, D. F. (2014). Clinical decision support alert appropriateness: A review and proposal for improvement. </w:t>
      </w:r>
      <w:r w:rsidRPr="000B694D">
        <w:rPr>
          <w:rFonts w:ascii="Times New Roman" w:eastAsia="Times New Roman" w:hAnsi="Times New Roman" w:cs="Times New Roman"/>
          <w:i/>
          <w:iCs/>
          <w:sz w:val="24"/>
          <w:szCs w:val="24"/>
          <w:lang w:val="en-US"/>
        </w:rPr>
        <w:t>The Ochsner Journal, 14</w:t>
      </w:r>
      <w:r w:rsidRPr="000B694D">
        <w:rPr>
          <w:rFonts w:ascii="Times New Roman" w:eastAsia="Times New Roman" w:hAnsi="Times New Roman" w:cs="Times New Roman"/>
          <w:sz w:val="24"/>
          <w:szCs w:val="24"/>
          <w:lang w:val="en-US"/>
        </w:rPr>
        <w:t xml:space="preserve">(2), 195–202. </w:t>
      </w:r>
      <w:hyperlink r:id="rId37">
        <w:r w:rsidRPr="000B694D">
          <w:rPr>
            <w:rStyle w:val="Hyperlink"/>
            <w:rFonts w:ascii="Times New Roman" w:eastAsia="Times New Roman" w:hAnsi="Times New Roman" w:cs="Times New Roman"/>
            <w:sz w:val="24"/>
            <w:szCs w:val="24"/>
            <w:lang w:val="en-US"/>
          </w:rPr>
          <w:t>https://pubmed.ncbi.nlm.nih.gov/24940129/</w:t>
        </w:r>
      </w:hyperlink>
    </w:p>
    <w:p w14:paraId="0EF31BCD" w14:textId="3EE9B272" w:rsidR="0E88A7E2" w:rsidRPr="000B694D" w:rsidRDefault="0E88A7E2" w:rsidP="0E88A7E2">
      <w:pPr>
        <w:spacing w:line="480" w:lineRule="auto"/>
        <w:ind w:left="720" w:hanging="720"/>
        <w:rPr>
          <w:rFonts w:ascii="Times New Roman" w:eastAsia="Times New Roman" w:hAnsi="Times New Roman" w:cs="Times New Roman"/>
          <w:sz w:val="24"/>
          <w:szCs w:val="24"/>
          <w:lang w:val="en-US"/>
        </w:rPr>
      </w:pPr>
    </w:p>
    <w:p w14:paraId="273B9CDB" w14:textId="174F935E" w:rsidR="0E88A7E2" w:rsidRPr="000B694D" w:rsidRDefault="08F26A5C" w:rsidP="00BE146F">
      <w:pPr>
        <w:spacing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Murphy, D. R., Savoy, A., Satterly, T., Sittig, D. F., &amp; Singh, H. (2021). Dashboards for visual display of patient safety data: A systematic review. </w:t>
      </w:r>
      <w:r w:rsidRPr="000B694D">
        <w:rPr>
          <w:rFonts w:ascii="Times New Roman" w:eastAsia="Times New Roman" w:hAnsi="Times New Roman" w:cs="Times New Roman"/>
          <w:i/>
          <w:iCs/>
          <w:sz w:val="24"/>
          <w:szCs w:val="24"/>
          <w:lang w:val="en-US"/>
        </w:rPr>
        <w:t>BMJ Health &amp; Care Informatics, 28</w:t>
      </w:r>
      <w:r w:rsidRPr="000B694D">
        <w:rPr>
          <w:rFonts w:ascii="Times New Roman" w:eastAsia="Times New Roman" w:hAnsi="Times New Roman" w:cs="Times New Roman"/>
          <w:sz w:val="24"/>
          <w:szCs w:val="24"/>
          <w:lang w:val="en-US"/>
        </w:rPr>
        <w:t xml:space="preserve">(1), e100437. </w:t>
      </w:r>
      <w:hyperlink r:id="rId38">
        <w:r w:rsidRPr="000B694D">
          <w:rPr>
            <w:rStyle w:val="Hyperlink"/>
            <w:rFonts w:ascii="Times New Roman" w:eastAsia="Times New Roman" w:hAnsi="Times New Roman" w:cs="Times New Roman"/>
            <w:sz w:val="24"/>
            <w:szCs w:val="24"/>
            <w:lang w:val="en-US"/>
          </w:rPr>
          <w:t>https://doi.org/10.1136/bmjhci-2021-100437</w:t>
        </w:r>
      </w:hyperlink>
    </w:p>
    <w:p w14:paraId="09459E1E" w14:textId="1AD94E22" w:rsidR="08F26A5C" w:rsidRPr="000B694D" w:rsidRDefault="08F26A5C" w:rsidP="0E88A7E2">
      <w:pPr>
        <w:spacing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Padula, W. V., Black, J. M., Davidson, P. M., Kang, S. Y., &amp; Pronovost, P. J. (2020). Adverse effects of the Medicare PSI-90 hospital penalty system on revenue-neutral hospital-acquired conditions. </w:t>
      </w:r>
      <w:r w:rsidRPr="000B694D">
        <w:rPr>
          <w:rFonts w:ascii="Times New Roman" w:eastAsia="Times New Roman" w:hAnsi="Times New Roman" w:cs="Times New Roman"/>
          <w:i/>
          <w:iCs/>
          <w:sz w:val="24"/>
          <w:szCs w:val="24"/>
          <w:lang w:val="en-US"/>
        </w:rPr>
        <w:t>Journal of Patient Safety, 16</w:t>
      </w:r>
      <w:r w:rsidRPr="000B694D">
        <w:rPr>
          <w:rFonts w:ascii="Times New Roman" w:eastAsia="Times New Roman" w:hAnsi="Times New Roman" w:cs="Times New Roman"/>
          <w:sz w:val="24"/>
          <w:szCs w:val="24"/>
          <w:lang w:val="en-US"/>
        </w:rPr>
        <w:t xml:space="preserve">(2), e97–e102. </w:t>
      </w:r>
      <w:hyperlink r:id="rId39">
        <w:r w:rsidRPr="000B694D">
          <w:rPr>
            <w:rStyle w:val="Hyperlink"/>
            <w:rFonts w:ascii="Times New Roman" w:eastAsia="Times New Roman" w:hAnsi="Times New Roman" w:cs="Times New Roman"/>
            <w:sz w:val="24"/>
            <w:szCs w:val="24"/>
            <w:lang w:val="en-US"/>
          </w:rPr>
          <w:t>https://doi.org/10.1097/PTS.0000000000000517</w:t>
        </w:r>
      </w:hyperlink>
    </w:p>
    <w:p w14:paraId="42E800ED" w14:textId="0B5238A6" w:rsidR="19CA0FAE" w:rsidRPr="000B694D" w:rsidRDefault="19CA0FAE" w:rsidP="0E88A7E2">
      <w:pPr>
        <w:spacing w:before="240" w:after="240"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Patel, V. L., </w:t>
      </w:r>
      <w:proofErr w:type="spellStart"/>
      <w:r w:rsidRPr="000B694D">
        <w:rPr>
          <w:rFonts w:ascii="Times New Roman" w:eastAsia="Times New Roman" w:hAnsi="Times New Roman" w:cs="Times New Roman"/>
          <w:sz w:val="24"/>
          <w:szCs w:val="24"/>
          <w:lang w:val="en-US"/>
        </w:rPr>
        <w:t>Shortliffe</w:t>
      </w:r>
      <w:proofErr w:type="spellEnd"/>
      <w:r w:rsidRPr="000B694D">
        <w:rPr>
          <w:rFonts w:ascii="Times New Roman" w:eastAsia="Times New Roman" w:hAnsi="Times New Roman" w:cs="Times New Roman"/>
          <w:sz w:val="24"/>
          <w:szCs w:val="24"/>
          <w:lang w:val="en-US"/>
        </w:rPr>
        <w:t xml:space="preserve">, E. H., Stefanelli, M., </w:t>
      </w:r>
      <w:proofErr w:type="spellStart"/>
      <w:r w:rsidRPr="000B694D">
        <w:rPr>
          <w:rFonts w:ascii="Times New Roman" w:eastAsia="Times New Roman" w:hAnsi="Times New Roman" w:cs="Times New Roman"/>
          <w:sz w:val="24"/>
          <w:szCs w:val="24"/>
          <w:lang w:val="en-US"/>
        </w:rPr>
        <w:t>Szolovits</w:t>
      </w:r>
      <w:proofErr w:type="spellEnd"/>
      <w:r w:rsidRPr="000B694D">
        <w:rPr>
          <w:rFonts w:ascii="Times New Roman" w:eastAsia="Times New Roman" w:hAnsi="Times New Roman" w:cs="Times New Roman"/>
          <w:sz w:val="24"/>
          <w:szCs w:val="24"/>
          <w:lang w:val="en-US"/>
        </w:rPr>
        <w:t xml:space="preserve">, P., Berthold, M. R., </w:t>
      </w:r>
      <w:proofErr w:type="spellStart"/>
      <w:r w:rsidRPr="000B694D">
        <w:rPr>
          <w:rFonts w:ascii="Times New Roman" w:eastAsia="Times New Roman" w:hAnsi="Times New Roman" w:cs="Times New Roman"/>
          <w:sz w:val="24"/>
          <w:szCs w:val="24"/>
          <w:lang w:val="en-US"/>
        </w:rPr>
        <w:t>Bellazzi</w:t>
      </w:r>
      <w:proofErr w:type="spellEnd"/>
      <w:r w:rsidRPr="000B694D">
        <w:rPr>
          <w:rFonts w:ascii="Times New Roman" w:eastAsia="Times New Roman" w:hAnsi="Times New Roman" w:cs="Times New Roman"/>
          <w:sz w:val="24"/>
          <w:szCs w:val="24"/>
          <w:lang w:val="en-US"/>
        </w:rPr>
        <w:t xml:space="preserve">, R., &amp; Abu-Hanna, A. (2009). The coming of age of artificial intelligence in medicine. </w:t>
      </w:r>
      <w:r w:rsidRPr="000B694D">
        <w:rPr>
          <w:rFonts w:ascii="Times New Roman" w:eastAsia="Times New Roman" w:hAnsi="Times New Roman" w:cs="Times New Roman"/>
          <w:i/>
          <w:iCs/>
          <w:sz w:val="24"/>
          <w:szCs w:val="24"/>
          <w:lang w:val="en-US"/>
        </w:rPr>
        <w:t>Artificial Intelligence in Medicine, 46</w:t>
      </w:r>
      <w:r w:rsidRPr="000B694D">
        <w:rPr>
          <w:rFonts w:ascii="Times New Roman" w:eastAsia="Times New Roman" w:hAnsi="Times New Roman" w:cs="Times New Roman"/>
          <w:sz w:val="24"/>
          <w:szCs w:val="24"/>
          <w:lang w:val="en-US"/>
        </w:rPr>
        <w:t xml:space="preserve">(1), 5–17. </w:t>
      </w:r>
      <w:hyperlink r:id="rId40">
        <w:r w:rsidRPr="000B694D">
          <w:rPr>
            <w:rStyle w:val="Hyperlink"/>
            <w:rFonts w:ascii="Times New Roman" w:eastAsia="Times New Roman" w:hAnsi="Times New Roman" w:cs="Times New Roman"/>
            <w:sz w:val="24"/>
            <w:szCs w:val="24"/>
            <w:lang w:val="en-US"/>
          </w:rPr>
          <w:t>https://doi.org/10.1016/j.artmed.2008.07.017</w:t>
        </w:r>
      </w:hyperlink>
    </w:p>
    <w:p w14:paraId="3A3AA2F4" w14:textId="7FCD1F41" w:rsidR="3B7CBE57" w:rsidRPr="000B694D" w:rsidRDefault="3B7CBE57" w:rsidP="0E88A7E2">
      <w:pPr>
        <w:spacing w:line="480" w:lineRule="auto"/>
        <w:ind w:left="720" w:hanging="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 xml:space="preserve">Raghupathi, W., &amp; Raghupathi, V. (2014). Big data analytics in healthcare: Promise and potential. </w:t>
      </w:r>
      <w:r w:rsidRPr="000B694D">
        <w:rPr>
          <w:rFonts w:ascii="Times New Roman" w:eastAsia="Times New Roman" w:hAnsi="Times New Roman" w:cs="Times New Roman"/>
          <w:i/>
          <w:iCs/>
          <w:sz w:val="24"/>
          <w:szCs w:val="24"/>
        </w:rPr>
        <w:t>Health Information Science and Systems, 2</w:t>
      </w:r>
      <w:r w:rsidRPr="000B694D">
        <w:rPr>
          <w:rFonts w:ascii="Times New Roman" w:eastAsia="Times New Roman" w:hAnsi="Times New Roman" w:cs="Times New Roman"/>
          <w:sz w:val="24"/>
          <w:szCs w:val="24"/>
        </w:rPr>
        <w:t xml:space="preserve">(1), 1–10. </w:t>
      </w:r>
      <w:hyperlink r:id="rId41">
        <w:r w:rsidRPr="000B694D">
          <w:rPr>
            <w:rStyle w:val="Hyperlink"/>
            <w:rFonts w:ascii="Times New Roman" w:eastAsia="Times New Roman" w:hAnsi="Times New Roman" w:cs="Times New Roman"/>
            <w:sz w:val="24"/>
            <w:szCs w:val="24"/>
          </w:rPr>
          <w:t>https://doi.org/10.1186/2047-2501-2-3</w:t>
        </w:r>
      </w:hyperlink>
    </w:p>
    <w:p w14:paraId="54DDA89B" w14:textId="6746A12B" w:rsidR="54D28CC9" w:rsidRPr="000B694D" w:rsidRDefault="54D28CC9" w:rsidP="0E88A7E2">
      <w:pPr>
        <w:spacing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Rind, A., Wang, T. D., Aigner, W., Miksch, S., </w:t>
      </w:r>
      <w:proofErr w:type="spellStart"/>
      <w:r w:rsidRPr="000B694D">
        <w:rPr>
          <w:rFonts w:ascii="Times New Roman" w:eastAsia="Times New Roman" w:hAnsi="Times New Roman" w:cs="Times New Roman"/>
          <w:sz w:val="24"/>
          <w:szCs w:val="24"/>
          <w:lang w:val="en-US"/>
        </w:rPr>
        <w:t>Wongsuphasawat</w:t>
      </w:r>
      <w:proofErr w:type="spellEnd"/>
      <w:r w:rsidRPr="000B694D">
        <w:rPr>
          <w:rFonts w:ascii="Times New Roman" w:eastAsia="Times New Roman" w:hAnsi="Times New Roman" w:cs="Times New Roman"/>
          <w:sz w:val="24"/>
          <w:szCs w:val="24"/>
          <w:lang w:val="en-US"/>
        </w:rPr>
        <w:t xml:space="preserve">, K., </w:t>
      </w:r>
      <w:proofErr w:type="spellStart"/>
      <w:r w:rsidRPr="000B694D">
        <w:rPr>
          <w:rFonts w:ascii="Times New Roman" w:eastAsia="Times New Roman" w:hAnsi="Times New Roman" w:cs="Times New Roman"/>
          <w:sz w:val="24"/>
          <w:szCs w:val="24"/>
          <w:lang w:val="en-US"/>
        </w:rPr>
        <w:t>Plaisant</w:t>
      </w:r>
      <w:proofErr w:type="spellEnd"/>
      <w:r w:rsidRPr="000B694D">
        <w:rPr>
          <w:rFonts w:ascii="Times New Roman" w:eastAsia="Times New Roman" w:hAnsi="Times New Roman" w:cs="Times New Roman"/>
          <w:sz w:val="24"/>
          <w:szCs w:val="24"/>
          <w:lang w:val="en-US"/>
        </w:rPr>
        <w:t xml:space="preserve">, C., &amp; </w:t>
      </w:r>
      <w:proofErr w:type="spellStart"/>
      <w:r w:rsidRPr="000B694D">
        <w:rPr>
          <w:rFonts w:ascii="Times New Roman" w:eastAsia="Times New Roman" w:hAnsi="Times New Roman" w:cs="Times New Roman"/>
          <w:sz w:val="24"/>
          <w:szCs w:val="24"/>
          <w:lang w:val="en-US"/>
        </w:rPr>
        <w:t>Shneiderman</w:t>
      </w:r>
      <w:proofErr w:type="spellEnd"/>
      <w:r w:rsidRPr="000B694D">
        <w:rPr>
          <w:rFonts w:ascii="Times New Roman" w:eastAsia="Times New Roman" w:hAnsi="Times New Roman" w:cs="Times New Roman"/>
          <w:sz w:val="24"/>
          <w:szCs w:val="24"/>
          <w:lang w:val="en-US"/>
        </w:rPr>
        <w:t xml:space="preserve">, B. (2013). Interactive information visualization to explore and query electronic health records. </w:t>
      </w:r>
      <w:r w:rsidRPr="000B694D">
        <w:rPr>
          <w:rFonts w:ascii="Times New Roman" w:eastAsia="Times New Roman" w:hAnsi="Times New Roman" w:cs="Times New Roman"/>
          <w:i/>
          <w:iCs/>
          <w:sz w:val="24"/>
          <w:szCs w:val="24"/>
          <w:lang w:val="en-US"/>
        </w:rPr>
        <w:t>Foundations and Trends® in Human–Computer Interaction, 5</w:t>
      </w:r>
      <w:r w:rsidRPr="000B694D">
        <w:rPr>
          <w:rFonts w:ascii="Times New Roman" w:eastAsia="Times New Roman" w:hAnsi="Times New Roman" w:cs="Times New Roman"/>
          <w:sz w:val="24"/>
          <w:szCs w:val="24"/>
          <w:lang w:val="en-US"/>
        </w:rPr>
        <w:t xml:space="preserve">(3), 207–298. </w:t>
      </w:r>
      <w:hyperlink r:id="rId42">
        <w:r w:rsidRPr="000B694D">
          <w:rPr>
            <w:rStyle w:val="Hyperlink"/>
            <w:rFonts w:ascii="Times New Roman" w:eastAsia="Times New Roman" w:hAnsi="Times New Roman" w:cs="Times New Roman"/>
            <w:sz w:val="24"/>
            <w:szCs w:val="24"/>
            <w:lang w:val="en-US"/>
          </w:rPr>
          <w:t>https://doi.org/10.1561/1100000039</w:t>
        </w:r>
      </w:hyperlink>
    </w:p>
    <w:p w14:paraId="11087309" w14:textId="3B661CC6" w:rsidR="24B7B11C" w:rsidRPr="000B694D" w:rsidRDefault="24B7B11C" w:rsidP="0E88A7E2">
      <w:pPr>
        <w:spacing w:line="480" w:lineRule="auto"/>
        <w:ind w:left="720" w:hanging="720"/>
        <w:rPr>
          <w:rFonts w:ascii="Times New Roman" w:eastAsia="Times New Roman" w:hAnsi="Times New Roman" w:cs="Times New Roman"/>
          <w:sz w:val="24"/>
          <w:szCs w:val="24"/>
        </w:rPr>
      </w:pPr>
      <w:r w:rsidRPr="000B694D">
        <w:rPr>
          <w:rFonts w:ascii="Times New Roman" w:eastAsia="Times New Roman" w:hAnsi="Times New Roman" w:cs="Times New Roman"/>
          <w:sz w:val="24"/>
          <w:szCs w:val="24"/>
        </w:rPr>
        <w:t xml:space="preserve">Roski, J., Bo‐Linn, G. W., &amp; Andrews, T. A. (2014). Creating value in health care through big data: Opportunities and policy implications. </w:t>
      </w:r>
      <w:r w:rsidRPr="000B694D">
        <w:rPr>
          <w:rFonts w:ascii="Times New Roman" w:eastAsia="Times New Roman" w:hAnsi="Times New Roman" w:cs="Times New Roman"/>
          <w:i/>
          <w:iCs/>
          <w:sz w:val="24"/>
          <w:szCs w:val="24"/>
        </w:rPr>
        <w:t>Health Affairs, 33</w:t>
      </w:r>
      <w:r w:rsidRPr="000B694D">
        <w:rPr>
          <w:rFonts w:ascii="Times New Roman" w:eastAsia="Times New Roman" w:hAnsi="Times New Roman" w:cs="Times New Roman"/>
          <w:sz w:val="24"/>
          <w:szCs w:val="24"/>
        </w:rPr>
        <w:t xml:space="preserve">(7), 1115–1122. </w:t>
      </w:r>
      <w:hyperlink r:id="rId43">
        <w:r w:rsidRPr="000B694D">
          <w:rPr>
            <w:rStyle w:val="Hyperlink"/>
            <w:rFonts w:ascii="Times New Roman" w:eastAsia="Times New Roman" w:hAnsi="Times New Roman" w:cs="Times New Roman"/>
            <w:sz w:val="24"/>
            <w:szCs w:val="24"/>
          </w:rPr>
          <w:t>https://doi.org/10.1377/hlthaff.2014.0147</w:t>
        </w:r>
      </w:hyperlink>
    </w:p>
    <w:p w14:paraId="3DA9F363" w14:textId="31680369" w:rsidR="0E1069B4" w:rsidRPr="000B694D" w:rsidRDefault="0E1069B4" w:rsidP="0E88A7E2">
      <w:pPr>
        <w:spacing w:line="480" w:lineRule="auto"/>
        <w:ind w:left="720" w:hanging="720"/>
        <w:rPr>
          <w:rFonts w:ascii="Times New Roman" w:eastAsia="Times New Roman" w:hAnsi="Times New Roman" w:cs="Times New Roman"/>
          <w:sz w:val="24"/>
          <w:szCs w:val="24"/>
          <w:lang w:val="en-US"/>
        </w:rPr>
      </w:pPr>
      <w:proofErr w:type="spellStart"/>
      <w:r w:rsidRPr="000B694D">
        <w:rPr>
          <w:rFonts w:ascii="Times New Roman" w:eastAsia="Times New Roman" w:hAnsi="Times New Roman" w:cs="Times New Roman"/>
          <w:sz w:val="24"/>
          <w:szCs w:val="24"/>
          <w:lang w:val="en-US"/>
        </w:rPr>
        <w:t>Savioli</w:t>
      </w:r>
      <w:proofErr w:type="spellEnd"/>
      <w:r w:rsidRPr="000B694D">
        <w:rPr>
          <w:rFonts w:ascii="Times New Roman" w:eastAsia="Times New Roman" w:hAnsi="Times New Roman" w:cs="Times New Roman"/>
          <w:sz w:val="24"/>
          <w:szCs w:val="24"/>
          <w:lang w:val="en-US"/>
        </w:rPr>
        <w:t xml:space="preserve">, G., Ceresa, I. F., Gri, N., </w:t>
      </w:r>
      <w:proofErr w:type="spellStart"/>
      <w:r w:rsidRPr="000B694D">
        <w:rPr>
          <w:rFonts w:ascii="Times New Roman" w:eastAsia="Times New Roman" w:hAnsi="Times New Roman" w:cs="Times New Roman"/>
          <w:sz w:val="24"/>
          <w:szCs w:val="24"/>
          <w:lang w:val="en-US"/>
        </w:rPr>
        <w:t>Bavestrello</w:t>
      </w:r>
      <w:proofErr w:type="spellEnd"/>
      <w:r w:rsidRPr="000B694D">
        <w:rPr>
          <w:rFonts w:ascii="Times New Roman" w:eastAsia="Times New Roman" w:hAnsi="Times New Roman" w:cs="Times New Roman"/>
          <w:sz w:val="24"/>
          <w:szCs w:val="24"/>
          <w:lang w:val="en-US"/>
        </w:rPr>
        <w:t xml:space="preserve"> Piccini, G., Longhitano, Y., </w:t>
      </w:r>
      <w:proofErr w:type="spellStart"/>
      <w:r w:rsidRPr="000B694D">
        <w:rPr>
          <w:rFonts w:ascii="Times New Roman" w:eastAsia="Times New Roman" w:hAnsi="Times New Roman" w:cs="Times New Roman"/>
          <w:sz w:val="24"/>
          <w:szCs w:val="24"/>
          <w:lang w:val="en-US"/>
        </w:rPr>
        <w:t>Zanza</w:t>
      </w:r>
      <w:proofErr w:type="spellEnd"/>
      <w:r w:rsidRPr="000B694D">
        <w:rPr>
          <w:rFonts w:ascii="Times New Roman" w:eastAsia="Times New Roman" w:hAnsi="Times New Roman" w:cs="Times New Roman"/>
          <w:sz w:val="24"/>
          <w:szCs w:val="24"/>
          <w:lang w:val="en-US"/>
        </w:rPr>
        <w:t xml:space="preserve">, C., Piccioni, A., Esposito, C., </w:t>
      </w:r>
      <w:proofErr w:type="spellStart"/>
      <w:r w:rsidRPr="000B694D">
        <w:rPr>
          <w:rFonts w:ascii="Times New Roman" w:eastAsia="Times New Roman" w:hAnsi="Times New Roman" w:cs="Times New Roman"/>
          <w:sz w:val="24"/>
          <w:szCs w:val="24"/>
          <w:lang w:val="en-US"/>
        </w:rPr>
        <w:t>Ricevuti</w:t>
      </w:r>
      <w:proofErr w:type="spellEnd"/>
      <w:r w:rsidRPr="000B694D">
        <w:rPr>
          <w:rFonts w:ascii="Times New Roman" w:eastAsia="Times New Roman" w:hAnsi="Times New Roman" w:cs="Times New Roman"/>
          <w:sz w:val="24"/>
          <w:szCs w:val="24"/>
          <w:lang w:val="en-US"/>
        </w:rPr>
        <w:t xml:space="preserve">, G., &amp; Bressan, M. A. (2022). Emergency department </w:t>
      </w:r>
      <w:r w:rsidRPr="000B694D">
        <w:rPr>
          <w:rFonts w:ascii="Times New Roman" w:eastAsia="Times New Roman" w:hAnsi="Times New Roman" w:cs="Times New Roman"/>
          <w:sz w:val="24"/>
          <w:szCs w:val="24"/>
          <w:lang w:val="en-US"/>
        </w:rPr>
        <w:lastRenderedPageBreak/>
        <w:t xml:space="preserve">overcrowding: Understanding the factors to find corresponding solutions. </w:t>
      </w:r>
      <w:r w:rsidRPr="000B694D">
        <w:rPr>
          <w:rFonts w:ascii="Times New Roman" w:eastAsia="Times New Roman" w:hAnsi="Times New Roman" w:cs="Times New Roman"/>
          <w:i/>
          <w:iCs/>
          <w:sz w:val="24"/>
          <w:szCs w:val="24"/>
          <w:lang w:val="en-US"/>
        </w:rPr>
        <w:t>Journal of Personalized Medicine, 12</w:t>
      </w:r>
      <w:r w:rsidRPr="000B694D">
        <w:rPr>
          <w:rFonts w:ascii="Times New Roman" w:eastAsia="Times New Roman" w:hAnsi="Times New Roman" w:cs="Times New Roman"/>
          <w:sz w:val="24"/>
          <w:szCs w:val="24"/>
          <w:lang w:val="en-US"/>
        </w:rPr>
        <w:t xml:space="preserve">(2), 279. </w:t>
      </w:r>
      <w:hyperlink r:id="rId44">
        <w:r w:rsidRPr="000B694D">
          <w:rPr>
            <w:rStyle w:val="Hyperlink"/>
            <w:rFonts w:ascii="Times New Roman" w:eastAsia="Times New Roman" w:hAnsi="Times New Roman" w:cs="Times New Roman"/>
            <w:sz w:val="24"/>
            <w:szCs w:val="24"/>
            <w:lang w:val="en-US"/>
          </w:rPr>
          <w:t>https://doi.org/10.3390/jpm12020279</w:t>
        </w:r>
      </w:hyperlink>
    </w:p>
    <w:p w14:paraId="1A08700A" w14:textId="532C1B92" w:rsidR="0E1069B4" w:rsidRPr="000B694D" w:rsidRDefault="0E1069B4" w:rsidP="0E88A7E2">
      <w:pPr>
        <w:spacing w:before="240" w:after="240"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Seery, K. A. (2022, November 28). PSI 90: Understanding the </w:t>
      </w:r>
      <w:proofErr w:type="gramStart"/>
      <w:r w:rsidRPr="000B694D">
        <w:rPr>
          <w:rFonts w:ascii="Times New Roman" w:eastAsia="Times New Roman" w:hAnsi="Times New Roman" w:cs="Times New Roman"/>
          <w:sz w:val="24"/>
          <w:szCs w:val="24"/>
          <w:lang w:val="en-US"/>
        </w:rPr>
        <w:t>fulcrum</w:t>
      </w:r>
      <w:proofErr w:type="gramEnd"/>
      <w:r w:rsidRPr="000B694D">
        <w:rPr>
          <w:rFonts w:ascii="Times New Roman" w:eastAsia="Times New Roman" w:hAnsi="Times New Roman" w:cs="Times New Roman"/>
          <w:sz w:val="24"/>
          <w:szCs w:val="24"/>
          <w:lang w:val="en-US"/>
        </w:rPr>
        <w:t xml:space="preserve"> of quality and safety in healthcare. </w:t>
      </w:r>
      <w:proofErr w:type="spellStart"/>
      <w:r w:rsidRPr="000B694D">
        <w:rPr>
          <w:rFonts w:ascii="Times New Roman" w:eastAsia="Times New Roman" w:hAnsi="Times New Roman" w:cs="Times New Roman"/>
          <w:i/>
          <w:iCs/>
          <w:sz w:val="24"/>
          <w:szCs w:val="24"/>
          <w:lang w:val="en-US"/>
        </w:rPr>
        <w:t>MedLearn</w:t>
      </w:r>
      <w:proofErr w:type="spellEnd"/>
      <w:r w:rsidRPr="000B694D">
        <w:rPr>
          <w:rFonts w:ascii="Times New Roman" w:eastAsia="Times New Roman" w:hAnsi="Times New Roman" w:cs="Times New Roman"/>
          <w:i/>
          <w:iCs/>
          <w:sz w:val="24"/>
          <w:szCs w:val="24"/>
          <w:lang w:val="en-US"/>
        </w:rPr>
        <w:t xml:space="preserve"> Publishing</w:t>
      </w:r>
      <w:r w:rsidRPr="000B694D">
        <w:rPr>
          <w:rFonts w:ascii="Times New Roman" w:eastAsia="Times New Roman" w:hAnsi="Times New Roman" w:cs="Times New Roman"/>
          <w:sz w:val="24"/>
          <w:szCs w:val="24"/>
          <w:lang w:val="en-US"/>
        </w:rPr>
        <w:t xml:space="preserve">. </w:t>
      </w:r>
      <w:hyperlink r:id="rId45">
        <w:r w:rsidRPr="000B694D">
          <w:rPr>
            <w:rStyle w:val="Hyperlink"/>
            <w:rFonts w:ascii="Times New Roman" w:eastAsia="Times New Roman" w:hAnsi="Times New Roman" w:cs="Times New Roman"/>
            <w:sz w:val="24"/>
            <w:szCs w:val="24"/>
            <w:lang w:val="en-US"/>
          </w:rPr>
          <w:t>https://racmonitor.medlearn.com/psi-90-understanding-the-fulcrum-of-quality-and-safety-in-healthcare/</w:t>
        </w:r>
      </w:hyperlink>
    </w:p>
    <w:p w14:paraId="61B3877D" w14:textId="43C06789" w:rsidR="3303FF0B" w:rsidRPr="000B694D" w:rsidRDefault="3303FF0B" w:rsidP="0E88A7E2">
      <w:pPr>
        <w:spacing w:before="240" w:after="240"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Stadler, J. G., Donlon, K., Siewert, J. D., Franken, T., &amp; Lewis, N. E. (2016). Improving the efficiency and ease of healthcare analysis through use of data visualization dashboards. </w:t>
      </w:r>
      <w:r w:rsidRPr="000B694D">
        <w:rPr>
          <w:rFonts w:ascii="Times New Roman" w:eastAsia="Times New Roman" w:hAnsi="Times New Roman" w:cs="Times New Roman"/>
          <w:i/>
          <w:iCs/>
          <w:sz w:val="24"/>
          <w:szCs w:val="24"/>
          <w:lang w:val="en-US"/>
        </w:rPr>
        <w:t>Big Data, 4</w:t>
      </w:r>
      <w:r w:rsidRPr="000B694D">
        <w:rPr>
          <w:rFonts w:ascii="Times New Roman" w:eastAsia="Times New Roman" w:hAnsi="Times New Roman" w:cs="Times New Roman"/>
          <w:sz w:val="24"/>
          <w:szCs w:val="24"/>
          <w:lang w:val="en-US"/>
        </w:rPr>
        <w:t xml:space="preserve">(2), 129–135. </w:t>
      </w:r>
      <w:hyperlink r:id="rId46">
        <w:r w:rsidRPr="000B694D">
          <w:rPr>
            <w:rStyle w:val="Hyperlink"/>
            <w:rFonts w:ascii="Times New Roman" w:eastAsia="Times New Roman" w:hAnsi="Times New Roman" w:cs="Times New Roman"/>
            <w:sz w:val="24"/>
            <w:szCs w:val="24"/>
            <w:lang w:val="en-US"/>
          </w:rPr>
          <w:t>https://doi.org/10.1089/big.2015.0059</w:t>
        </w:r>
      </w:hyperlink>
    </w:p>
    <w:p w14:paraId="313EDD96" w14:textId="75CFE26E" w:rsidR="66454433" w:rsidRDefault="66454433" w:rsidP="0E88A7E2">
      <w:pPr>
        <w:spacing w:before="240" w:after="240" w:line="480" w:lineRule="auto"/>
        <w:ind w:left="720" w:hanging="720"/>
        <w:rPr>
          <w:rFonts w:ascii="Times New Roman" w:hAnsi="Times New Roman" w:cs="Times New Roman"/>
          <w:sz w:val="24"/>
          <w:szCs w:val="24"/>
        </w:rPr>
      </w:pPr>
      <w:r w:rsidRPr="000B694D">
        <w:rPr>
          <w:rFonts w:ascii="Times New Roman" w:eastAsia="Times New Roman" w:hAnsi="Times New Roman" w:cs="Times New Roman"/>
          <w:sz w:val="24"/>
          <w:szCs w:val="24"/>
          <w:lang w:val="en-US"/>
        </w:rPr>
        <w:t xml:space="preserve">Stanley, J., Gale, B., &amp; Mossburg, S. (2023). The role of undergraduate nursing education in patient safety. </w:t>
      </w:r>
      <w:proofErr w:type="spellStart"/>
      <w:r w:rsidRPr="000B694D">
        <w:rPr>
          <w:rFonts w:ascii="Times New Roman" w:eastAsia="Times New Roman" w:hAnsi="Times New Roman" w:cs="Times New Roman"/>
          <w:i/>
          <w:iCs/>
          <w:sz w:val="24"/>
          <w:szCs w:val="24"/>
          <w:lang w:val="en-US"/>
        </w:rPr>
        <w:t>PSNet</w:t>
      </w:r>
      <w:proofErr w:type="spellEnd"/>
      <w:r w:rsidRPr="000B694D">
        <w:rPr>
          <w:rFonts w:ascii="Times New Roman" w:eastAsia="Times New Roman" w:hAnsi="Times New Roman" w:cs="Times New Roman"/>
          <w:sz w:val="24"/>
          <w:szCs w:val="24"/>
          <w:lang w:val="en-US"/>
        </w:rPr>
        <w:t xml:space="preserve">. </w:t>
      </w:r>
      <w:hyperlink r:id="rId47">
        <w:r w:rsidRPr="000B694D">
          <w:rPr>
            <w:rStyle w:val="Hyperlink"/>
            <w:rFonts w:ascii="Times New Roman" w:eastAsia="Times New Roman" w:hAnsi="Times New Roman" w:cs="Times New Roman"/>
            <w:sz w:val="24"/>
            <w:szCs w:val="24"/>
            <w:lang w:val="en-US"/>
          </w:rPr>
          <w:t>https://psnet.ahrq.gov/perspective/role-undergraduate-nursing-education-patient-safety</w:t>
        </w:r>
      </w:hyperlink>
    </w:p>
    <w:p w14:paraId="440D7237" w14:textId="7A6E842F" w:rsidR="0098418C" w:rsidRPr="0098418C" w:rsidRDefault="0098418C" w:rsidP="0098418C">
      <w:pPr>
        <w:spacing w:before="240" w:after="240" w:line="480" w:lineRule="auto"/>
        <w:ind w:left="720" w:hanging="720"/>
        <w:rPr>
          <w:rFonts w:ascii="Times New Roman" w:eastAsia="Times New Roman" w:hAnsi="Times New Roman" w:cs="Times New Roman"/>
          <w:sz w:val="24"/>
          <w:szCs w:val="24"/>
        </w:rPr>
      </w:pPr>
      <w:proofErr w:type="spellStart"/>
      <w:r w:rsidRPr="000B694D">
        <w:rPr>
          <w:rFonts w:ascii="Times New Roman" w:eastAsia="Times New Roman" w:hAnsi="Times New Roman" w:cs="Times New Roman"/>
          <w:sz w:val="24"/>
          <w:szCs w:val="24"/>
          <w:lang w:val="en-US"/>
        </w:rPr>
        <w:t>Thungjaroenkul</w:t>
      </w:r>
      <w:proofErr w:type="spellEnd"/>
      <w:r w:rsidRPr="000B694D">
        <w:rPr>
          <w:rFonts w:ascii="Times New Roman" w:eastAsia="Times New Roman" w:hAnsi="Times New Roman" w:cs="Times New Roman"/>
          <w:sz w:val="24"/>
          <w:szCs w:val="24"/>
          <w:lang w:val="en-US"/>
        </w:rPr>
        <w:t xml:space="preserve">, P., Cummings, G. G., &amp; </w:t>
      </w:r>
      <w:proofErr w:type="spellStart"/>
      <w:r w:rsidRPr="000B694D">
        <w:rPr>
          <w:rFonts w:ascii="Times New Roman" w:eastAsia="Times New Roman" w:hAnsi="Times New Roman" w:cs="Times New Roman"/>
          <w:sz w:val="24"/>
          <w:szCs w:val="24"/>
          <w:lang w:val="en-US"/>
        </w:rPr>
        <w:t>Embleton</w:t>
      </w:r>
      <w:proofErr w:type="spellEnd"/>
      <w:r w:rsidRPr="000B694D">
        <w:rPr>
          <w:rFonts w:ascii="Times New Roman" w:eastAsia="Times New Roman" w:hAnsi="Times New Roman" w:cs="Times New Roman"/>
          <w:sz w:val="24"/>
          <w:szCs w:val="24"/>
          <w:lang w:val="en-US"/>
        </w:rPr>
        <w:t xml:space="preserve">, A. (2007). The impact of nurse staffing on hospital costs and patient length of stay: A systematic review. </w:t>
      </w:r>
      <w:r w:rsidRPr="000B694D">
        <w:rPr>
          <w:rFonts w:ascii="Times New Roman" w:eastAsia="Times New Roman" w:hAnsi="Times New Roman" w:cs="Times New Roman"/>
          <w:i/>
          <w:iCs/>
          <w:sz w:val="24"/>
          <w:szCs w:val="24"/>
          <w:lang w:val="en-US"/>
        </w:rPr>
        <w:t>Nursing Economics, 25</w:t>
      </w:r>
      <w:r w:rsidRPr="000B694D">
        <w:rPr>
          <w:rFonts w:ascii="Times New Roman" w:eastAsia="Times New Roman" w:hAnsi="Times New Roman" w:cs="Times New Roman"/>
          <w:sz w:val="24"/>
          <w:szCs w:val="24"/>
          <w:lang w:val="en-US"/>
        </w:rPr>
        <w:t xml:space="preserve">(5), 255–265. </w:t>
      </w:r>
      <w:hyperlink r:id="rId48">
        <w:r w:rsidRPr="000B694D">
          <w:rPr>
            <w:rStyle w:val="Hyperlink"/>
            <w:rFonts w:ascii="Times New Roman" w:eastAsia="Times New Roman" w:hAnsi="Times New Roman" w:cs="Times New Roman"/>
            <w:sz w:val="24"/>
            <w:szCs w:val="24"/>
            <w:lang w:val="en-US"/>
          </w:rPr>
          <w:t>https://pubmed.ncbi.nlm.nih.gov/18080621/</w:t>
        </w:r>
      </w:hyperlink>
    </w:p>
    <w:p w14:paraId="1135805B" w14:textId="08C20CE0" w:rsidR="4244F3E0" w:rsidRDefault="4244F3E0" w:rsidP="0E88A7E2">
      <w:pPr>
        <w:spacing w:before="240" w:after="240" w:line="480" w:lineRule="auto"/>
        <w:ind w:left="720" w:hanging="720"/>
        <w:rPr>
          <w:rFonts w:ascii="Times New Roman" w:hAnsi="Times New Roman" w:cs="Times New Roman"/>
          <w:sz w:val="24"/>
          <w:szCs w:val="24"/>
        </w:rPr>
      </w:pPr>
      <w:proofErr w:type="spellStart"/>
      <w:r w:rsidRPr="000B694D">
        <w:rPr>
          <w:rFonts w:ascii="Times New Roman" w:eastAsia="Times New Roman" w:hAnsi="Times New Roman" w:cs="Times New Roman"/>
          <w:sz w:val="24"/>
          <w:szCs w:val="24"/>
          <w:lang w:val="en-US"/>
        </w:rPr>
        <w:t>Turchioe</w:t>
      </w:r>
      <w:proofErr w:type="spellEnd"/>
      <w:r w:rsidRPr="000B694D">
        <w:rPr>
          <w:rFonts w:ascii="Times New Roman" w:eastAsia="Times New Roman" w:hAnsi="Times New Roman" w:cs="Times New Roman"/>
          <w:sz w:val="24"/>
          <w:szCs w:val="24"/>
          <w:lang w:val="en-US"/>
        </w:rPr>
        <w:t xml:space="preserve">, M. R., Myers, A., Isaac, S., Baik, D., Grossman, L. V., Ancker, J. S., &amp; </w:t>
      </w:r>
      <w:proofErr w:type="spellStart"/>
      <w:r w:rsidRPr="000B694D">
        <w:rPr>
          <w:rFonts w:ascii="Times New Roman" w:eastAsia="Times New Roman" w:hAnsi="Times New Roman" w:cs="Times New Roman"/>
          <w:sz w:val="24"/>
          <w:szCs w:val="24"/>
          <w:lang w:val="en-US"/>
        </w:rPr>
        <w:t>Creber</w:t>
      </w:r>
      <w:proofErr w:type="spellEnd"/>
      <w:r w:rsidRPr="000B694D">
        <w:rPr>
          <w:rFonts w:ascii="Times New Roman" w:eastAsia="Times New Roman" w:hAnsi="Times New Roman" w:cs="Times New Roman"/>
          <w:sz w:val="24"/>
          <w:szCs w:val="24"/>
          <w:lang w:val="en-US"/>
        </w:rPr>
        <w:t xml:space="preserve">, R. M. (2019). A systematic review of patient-facing visualizations of personal health data. </w:t>
      </w:r>
      <w:r w:rsidRPr="000B694D">
        <w:rPr>
          <w:rFonts w:ascii="Times New Roman" w:eastAsia="Times New Roman" w:hAnsi="Times New Roman" w:cs="Times New Roman"/>
          <w:i/>
          <w:iCs/>
          <w:sz w:val="24"/>
          <w:szCs w:val="24"/>
          <w:lang w:val="en-US"/>
        </w:rPr>
        <w:t>Applied Clinical Informatics, 10</w:t>
      </w:r>
      <w:r w:rsidRPr="000B694D">
        <w:rPr>
          <w:rFonts w:ascii="Times New Roman" w:eastAsia="Times New Roman" w:hAnsi="Times New Roman" w:cs="Times New Roman"/>
          <w:sz w:val="24"/>
          <w:szCs w:val="24"/>
          <w:lang w:val="en-US"/>
        </w:rPr>
        <w:t xml:space="preserve">(4), 751–770. </w:t>
      </w:r>
      <w:hyperlink r:id="rId49">
        <w:r w:rsidRPr="000B694D">
          <w:rPr>
            <w:rStyle w:val="Hyperlink"/>
            <w:rFonts w:ascii="Times New Roman" w:eastAsia="Times New Roman" w:hAnsi="Times New Roman" w:cs="Times New Roman"/>
            <w:sz w:val="24"/>
            <w:szCs w:val="24"/>
            <w:lang w:val="en-US"/>
          </w:rPr>
          <w:t>https://doi.org/10.1055/s-0039-1697592</w:t>
        </w:r>
      </w:hyperlink>
    </w:p>
    <w:p w14:paraId="30E06CF1" w14:textId="61AED576" w:rsidR="0098418C" w:rsidRPr="000B694D" w:rsidRDefault="0098418C" w:rsidP="0098418C">
      <w:pPr>
        <w:spacing w:before="240" w:after="240"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Victoria, M., </w:t>
      </w:r>
      <w:proofErr w:type="spellStart"/>
      <w:r w:rsidRPr="000B694D">
        <w:rPr>
          <w:rFonts w:ascii="Times New Roman" w:eastAsia="Times New Roman" w:hAnsi="Times New Roman" w:cs="Times New Roman"/>
          <w:sz w:val="24"/>
          <w:szCs w:val="24"/>
          <w:lang w:val="en-US"/>
        </w:rPr>
        <w:t>Kichloo</w:t>
      </w:r>
      <w:proofErr w:type="spellEnd"/>
      <w:r w:rsidRPr="000B694D">
        <w:rPr>
          <w:rFonts w:ascii="Times New Roman" w:eastAsia="Times New Roman" w:hAnsi="Times New Roman" w:cs="Times New Roman"/>
          <w:sz w:val="24"/>
          <w:szCs w:val="24"/>
          <w:lang w:val="en-US"/>
        </w:rPr>
        <w:t xml:space="preserve">, A., &amp; Fitzgerald, R. (2022). Using PSI-90 scores to improve patient safety and quality ratings. </w:t>
      </w:r>
      <w:r w:rsidRPr="000B694D">
        <w:rPr>
          <w:rFonts w:ascii="Times New Roman" w:eastAsia="Times New Roman" w:hAnsi="Times New Roman" w:cs="Times New Roman"/>
          <w:i/>
          <w:iCs/>
          <w:sz w:val="24"/>
          <w:szCs w:val="24"/>
          <w:lang w:val="en-US"/>
        </w:rPr>
        <w:t>Physician Leadership Journal, 9</w:t>
      </w:r>
      <w:r w:rsidRPr="000B694D">
        <w:rPr>
          <w:rFonts w:ascii="Times New Roman" w:eastAsia="Times New Roman" w:hAnsi="Times New Roman" w:cs="Times New Roman"/>
          <w:sz w:val="24"/>
          <w:szCs w:val="24"/>
          <w:lang w:val="en-US"/>
        </w:rPr>
        <w:t xml:space="preserve">(6), 35–39. </w:t>
      </w:r>
      <w:hyperlink r:id="rId50">
        <w:r w:rsidRPr="000B694D">
          <w:rPr>
            <w:rStyle w:val="Hyperlink"/>
            <w:rFonts w:ascii="Times New Roman" w:eastAsia="Times New Roman" w:hAnsi="Times New Roman" w:cs="Times New Roman"/>
            <w:sz w:val="24"/>
            <w:szCs w:val="24"/>
            <w:lang w:val="en-US"/>
          </w:rPr>
          <w:t>https://doi.org/10.55834/plj.8269100564</w:t>
        </w:r>
      </w:hyperlink>
    </w:p>
    <w:p w14:paraId="33D7EFA2" w14:textId="03710920" w:rsidR="182FE48B" w:rsidRPr="000B694D" w:rsidRDefault="182FE48B" w:rsidP="0E88A7E2">
      <w:pPr>
        <w:spacing w:before="240" w:after="240"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lastRenderedPageBreak/>
        <w:t xml:space="preserve">West, V. L., Borland, D., &amp; Hammond, W. E. (2014). Innovative information visualization of electronic health record data: A systematic review. </w:t>
      </w:r>
      <w:r w:rsidRPr="000B694D">
        <w:rPr>
          <w:rFonts w:ascii="Times New Roman" w:eastAsia="Times New Roman" w:hAnsi="Times New Roman" w:cs="Times New Roman"/>
          <w:i/>
          <w:iCs/>
          <w:sz w:val="24"/>
          <w:szCs w:val="24"/>
          <w:lang w:val="en-US"/>
        </w:rPr>
        <w:t>Journal of the American Medical Informatics Association, 22</w:t>
      </w:r>
      <w:r w:rsidRPr="000B694D">
        <w:rPr>
          <w:rFonts w:ascii="Times New Roman" w:eastAsia="Times New Roman" w:hAnsi="Times New Roman" w:cs="Times New Roman"/>
          <w:sz w:val="24"/>
          <w:szCs w:val="24"/>
          <w:lang w:val="en-US"/>
        </w:rPr>
        <w:t xml:space="preserve">(2), 330–339. </w:t>
      </w:r>
      <w:hyperlink r:id="rId51">
        <w:r w:rsidRPr="000B694D">
          <w:rPr>
            <w:rStyle w:val="Hyperlink"/>
            <w:rFonts w:ascii="Times New Roman" w:eastAsia="Times New Roman" w:hAnsi="Times New Roman" w:cs="Times New Roman"/>
            <w:sz w:val="24"/>
            <w:szCs w:val="24"/>
            <w:lang w:val="en-US"/>
          </w:rPr>
          <w:t>https://doi.org/10.1136/amiajnl-2014-002955</w:t>
        </w:r>
      </w:hyperlink>
    </w:p>
    <w:p w14:paraId="37D7D0A7" w14:textId="556D461E" w:rsidR="46C018F7" w:rsidRPr="000B694D" w:rsidRDefault="46C018F7" w:rsidP="0E88A7E2">
      <w:pPr>
        <w:spacing w:before="240" w:after="240" w:line="480" w:lineRule="auto"/>
        <w:ind w:left="720" w:hanging="720"/>
        <w:rPr>
          <w:rFonts w:ascii="Times New Roman" w:eastAsia="Times New Roman" w:hAnsi="Times New Roman" w:cs="Times New Roman"/>
          <w:sz w:val="24"/>
          <w:szCs w:val="24"/>
          <w:lang w:val="en-US"/>
        </w:rPr>
      </w:pPr>
      <w:r w:rsidRPr="000B694D">
        <w:rPr>
          <w:rFonts w:ascii="Times New Roman" w:eastAsia="Times New Roman" w:hAnsi="Times New Roman" w:cs="Times New Roman"/>
          <w:sz w:val="24"/>
          <w:szCs w:val="24"/>
          <w:lang w:val="en-US"/>
        </w:rPr>
        <w:t xml:space="preserve">Zrelak, P. A., Utter, G. H., McDonald, K. M., Houchens, R. L., Davies, S. M., Skinner, H. G., Owens, P. L., &amp; Romano, P. S. (2022). Incorporating harms into the weighting of the revised Agency for Healthcare Research and Quality Patient Safety for Selected Indicators Composite (Patient Safety Indicator 90). </w:t>
      </w:r>
      <w:r w:rsidRPr="000B694D">
        <w:rPr>
          <w:rFonts w:ascii="Times New Roman" w:eastAsia="Times New Roman" w:hAnsi="Times New Roman" w:cs="Times New Roman"/>
          <w:i/>
          <w:iCs/>
          <w:sz w:val="24"/>
          <w:szCs w:val="24"/>
          <w:lang w:val="en-US"/>
        </w:rPr>
        <w:t>Health Services Research, 57</w:t>
      </w:r>
      <w:r w:rsidRPr="000B694D">
        <w:rPr>
          <w:rFonts w:ascii="Times New Roman" w:eastAsia="Times New Roman" w:hAnsi="Times New Roman" w:cs="Times New Roman"/>
          <w:sz w:val="24"/>
          <w:szCs w:val="24"/>
          <w:lang w:val="en-US"/>
        </w:rPr>
        <w:t xml:space="preserve">(3), 654–667. </w:t>
      </w:r>
      <w:hyperlink r:id="rId52">
        <w:r w:rsidRPr="000B694D">
          <w:rPr>
            <w:rStyle w:val="Hyperlink"/>
            <w:rFonts w:ascii="Times New Roman" w:eastAsia="Times New Roman" w:hAnsi="Times New Roman" w:cs="Times New Roman"/>
            <w:sz w:val="24"/>
            <w:szCs w:val="24"/>
            <w:lang w:val="en-US"/>
          </w:rPr>
          <w:t>https://doi.org/10.1111/1475-6773.13918</w:t>
        </w:r>
      </w:hyperlink>
    </w:p>
    <w:sectPr w:rsidR="46C018F7" w:rsidRPr="000B694D">
      <w:headerReference w:type="default" r:id="rId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4C7B5" w14:textId="77777777" w:rsidR="002D388C" w:rsidRDefault="002D388C">
      <w:pPr>
        <w:spacing w:line="240" w:lineRule="auto"/>
      </w:pPr>
      <w:r>
        <w:separator/>
      </w:r>
    </w:p>
  </w:endnote>
  <w:endnote w:type="continuationSeparator" w:id="0">
    <w:p w14:paraId="163DDF0E" w14:textId="77777777" w:rsidR="002D388C" w:rsidRDefault="002D3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AAFB1" w14:textId="77777777" w:rsidR="002D388C" w:rsidRDefault="002D388C">
      <w:pPr>
        <w:spacing w:line="240" w:lineRule="auto"/>
      </w:pPr>
      <w:r>
        <w:separator/>
      </w:r>
    </w:p>
  </w:footnote>
  <w:footnote w:type="continuationSeparator" w:id="0">
    <w:p w14:paraId="274CF1AF" w14:textId="77777777" w:rsidR="002D388C" w:rsidRDefault="002D38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7FDDB" w14:textId="77777777" w:rsidR="00C85EAF" w:rsidRDefault="00000000">
    <w:pPr>
      <w:jc w:val="right"/>
    </w:pPr>
    <w:r>
      <w:fldChar w:fldCharType="begin"/>
    </w:r>
    <w:r>
      <w:instrText>PAGE</w:instrText>
    </w:r>
    <w:r>
      <w:fldChar w:fldCharType="separate"/>
    </w:r>
    <w:r w:rsidR="0047027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FE1A8"/>
    <w:multiLevelType w:val="hybridMultilevel"/>
    <w:tmpl w:val="0C4061DC"/>
    <w:lvl w:ilvl="0" w:tplc="C3DC7758">
      <w:start w:val="1"/>
      <w:numFmt w:val="lowerRoman"/>
      <w:lvlText w:val="%1."/>
      <w:lvlJc w:val="right"/>
      <w:pPr>
        <w:ind w:left="720" w:hanging="360"/>
      </w:pPr>
    </w:lvl>
    <w:lvl w:ilvl="1" w:tplc="0A6E7AAA">
      <w:start w:val="1"/>
      <w:numFmt w:val="lowerLetter"/>
      <w:lvlText w:val="%2."/>
      <w:lvlJc w:val="left"/>
      <w:pPr>
        <w:ind w:left="1440" w:hanging="360"/>
      </w:pPr>
    </w:lvl>
    <w:lvl w:ilvl="2" w:tplc="692AD7EA">
      <w:start w:val="1"/>
      <w:numFmt w:val="lowerRoman"/>
      <w:lvlText w:val="%3."/>
      <w:lvlJc w:val="right"/>
      <w:pPr>
        <w:ind w:left="2160" w:hanging="180"/>
      </w:pPr>
    </w:lvl>
    <w:lvl w:ilvl="3" w:tplc="EB304FEC">
      <w:start w:val="1"/>
      <w:numFmt w:val="decimal"/>
      <w:lvlText w:val="%4."/>
      <w:lvlJc w:val="left"/>
      <w:pPr>
        <w:ind w:left="2880" w:hanging="360"/>
      </w:pPr>
    </w:lvl>
    <w:lvl w:ilvl="4" w:tplc="99F4B154">
      <w:start w:val="1"/>
      <w:numFmt w:val="lowerLetter"/>
      <w:lvlText w:val="%5."/>
      <w:lvlJc w:val="left"/>
      <w:pPr>
        <w:ind w:left="3600" w:hanging="360"/>
      </w:pPr>
    </w:lvl>
    <w:lvl w:ilvl="5" w:tplc="7F22CBA0">
      <w:start w:val="1"/>
      <w:numFmt w:val="lowerRoman"/>
      <w:lvlText w:val="%6."/>
      <w:lvlJc w:val="right"/>
      <w:pPr>
        <w:ind w:left="4320" w:hanging="180"/>
      </w:pPr>
    </w:lvl>
    <w:lvl w:ilvl="6" w:tplc="4F36450C">
      <w:start w:val="1"/>
      <w:numFmt w:val="decimal"/>
      <w:lvlText w:val="%7."/>
      <w:lvlJc w:val="left"/>
      <w:pPr>
        <w:ind w:left="5040" w:hanging="360"/>
      </w:pPr>
    </w:lvl>
    <w:lvl w:ilvl="7" w:tplc="399C8B08">
      <w:start w:val="1"/>
      <w:numFmt w:val="lowerLetter"/>
      <w:lvlText w:val="%8."/>
      <w:lvlJc w:val="left"/>
      <w:pPr>
        <w:ind w:left="5760" w:hanging="360"/>
      </w:pPr>
    </w:lvl>
    <w:lvl w:ilvl="8" w:tplc="2D6874DC">
      <w:start w:val="1"/>
      <w:numFmt w:val="lowerRoman"/>
      <w:lvlText w:val="%9."/>
      <w:lvlJc w:val="right"/>
      <w:pPr>
        <w:ind w:left="6480" w:hanging="180"/>
      </w:pPr>
    </w:lvl>
  </w:abstractNum>
  <w:abstractNum w:abstractNumId="1" w15:restartNumberingAfterBreak="0">
    <w:nsid w:val="17F962FA"/>
    <w:multiLevelType w:val="hybridMultilevel"/>
    <w:tmpl w:val="AE22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91E0F"/>
    <w:multiLevelType w:val="hybridMultilevel"/>
    <w:tmpl w:val="44F28A76"/>
    <w:lvl w:ilvl="0" w:tplc="56DCA4A4">
      <w:start w:val="1"/>
      <w:numFmt w:val="lowerRoman"/>
      <w:lvlText w:val="%1."/>
      <w:lvlJc w:val="left"/>
      <w:pPr>
        <w:ind w:left="720" w:hanging="360"/>
      </w:pPr>
    </w:lvl>
    <w:lvl w:ilvl="1" w:tplc="AF140B02">
      <w:start w:val="1"/>
      <w:numFmt w:val="lowerLetter"/>
      <w:lvlText w:val="%2."/>
      <w:lvlJc w:val="left"/>
      <w:pPr>
        <w:ind w:left="1440" w:hanging="360"/>
      </w:pPr>
    </w:lvl>
    <w:lvl w:ilvl="2" w:tplc="A5C4E18A">
      <w:start w:val="1"/>
      <w:numFmt w:val="lowerRoman"/>
      <w:lvlText w:val="%3."/>
      <w:lvlJc w:val="right"/>
      <w:pPr>
        <w:ind w:left="2160" w:hanging="180"/>
      </w:pPr>
    </w:lvl>
    <w:lvl w:ilvl="3" w:tplc="FFBEAD4C">
      <w:start w:val="1"/>
      <w:numFmt w:val="decimal"/>
      <w:lvlText w:val="%4."/>
      <w:lvlJc w:val="left"/>
      <w:pPr>
        <w:ind w:left="2880" w:hanging="360"/>
      </w:pPr>
    </w:lvl>
    <w:lvl w:ilvl="4" w:tplc="CE845522">
      <w:start w:val="1"/>
      <w:numFmt w:val="lowerLetter"/>
      <w:lvlText w:val="%5."/>
      <w:lvlJc w:val="left"/>
      <w:pPr>
        <w:ind w:left="3600" w:hanging="360"/>
      </w:pPr>
    </w:lvl>
    <w:lvl w:ilvl="5" w:tplc="58BEC6E8">
      <w:start w:val="1"/>
      <w:numFmt w:val="lowerRoman"/>
      <w:lvlText w:val="%6."/>
      <w:lvlJc w:val="right"/>
      <w:pPr>
        <w:ind w:left="4320" w:hanging="180"/>
      </w:pPr>
    </w:lvl>
    <w:lvl w:ilvl="6" w:tplc="6F9ACAD8">
      <w:start w:val="1"/>
      <w:numFmt w:val="decimal"/>
      <w:lvlText w:val="%7."/>
      <w:lvlJc w:val="left"/>
      <w:pPr>
        <w:ind w:left="5040" w:hanging="360"/>
      </w:pPr>
    </w:lvl>
    <w:lvl w:ilvl="7" w:tplc="6DE8F4B6">
      <w:start w:val="1"/>
      <w:numFmt w:val="lowerLetter"/>
      <w:lvlText w:val="%8."/>
      <w:lvlJc w:val="left"/>
      <w:pPr>
        <w:ind w:left="5760" w:hanging="360"/>
      </w:pPr>
    </w:lvl>
    <w:lvl w:ilvl="8" w:tplc="7436C9D6">
      <w:start w:val="1"/>
      <w:numFmt w:val="lowerRoman"/>
      <w:lvlText w:val="%9."/>
      <w:lvlJc w:val="right"/>
      <w:pPr>
        <w:ind w:left="6480" w:hanging="180"/>
      </w:pPr>
    </w:lvl>
  </w:abstractNum>
  <w:abstractNum w:abstractNumId="3" w15:restartNumberingAfterBreak="0">
    <w:nsid w:val="1C6622CE"/>
    <w:multiLevelType w:val="hybridMultilevel"/>
    <w:tmpl w:val="867EF1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0F7F25"/>
    <w:multiLevelType w:val="hybridMultilevel"/>
    <w:tmpl w:val="44920F2E"/>
    <w:lvl w:ilvl="0" w:tplc="1098FAB2">
      <w:numFmt w:val="bullet"/>
      <w:lvlText w:val="·"/>
      <w:lvlJc w:val="left"/>
      <w:pPr>
        <w:ind w:left="980" w:hanging="6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DADFE9"/>
    <w:multiLevelType w:val="hybridMultilevel"/>
    <w:tmpl w:val="08364DA0"/>
    <w:lvl w:ilvl="0" w:tplc="7ACC5BF8">
      <w:start w:val="1"/>
      <w:numFmt w:val="upperLetter"/>
      <w:lvlText w:val="%1."/>
      <w:lvlJc w:val="left"/>
      <w:pPr>
        <w:ind w:left="720" w:hanging="360"/>
      </w:pPr>
    </w:lvl>
    <w:lvl w:ilvl="1" w:tplc="A9FEF536">
      <w:start w:val="1"/>
      <w:numFmt w:val="lowerLetter"/>
      <w:lvlText w:val="%2."/>
      <w:lvlJc w:val="left"/>
      <w:pPr>
        <w:ind w:left="1440" w:hanging="360"/>
      </w:pPr>
    </w:lvl>
    <w:lvl w:ilvl="2" w:tplc="CA4EC154">
      <w:start w:val="1"/>
      <w:numFmt w:val="lowerRoman"/>
      <w:lvlText w:val="%3."/>
      <w:lvlJc w:val="right"/>
      <w:pPr>
        <w:ind w:left="2160" w:hanging="180"/>
      </w:pPr>
    </w:lvl>
    <w:lvl w:ilvl="3" w:tplc="662E4FE0">
      <w:start w:val="1"/>
      <w:numFmt w:val="decimal"/>
      <w:lvlText w:val="%4."/>
      <w:lvlJc w:val="left"/>
      <w:pPr>
        <w:ind w:left="2880" w:hanging="360"/>
      </w:pPr>
    </w:lvl>
    <w:lvl w:ilvl="4" w:tplc="BAE4745C">
      <w:start w:val="1"/>
      <w:numFmt w:val="lowerLetter"/>
      <w:lvlText w:val="%5."/>
      <w:lvlJc w:val="left"/>
      <w:pPr>
        <w:ind w:left="3600" w:hanging="360"/>
      </w:pPr>
    </w:lvl>
    <w:lvl w:ilvl="5" w:tplc="6FD81430">
      <w:start w:val="1"/>
      <w:numFmt w:val="lowerRoman"/>
      <w:lvlText w:val="%6."/>
      <w:lvlJc w:val="right"/>
      <w:pPr>
        <w:ind w:left="4320" w:hanging="180"/>
      </w:pPr>
    </w:lvl>
    <w:lvl w:ilvl="6" w:tplc="BDA2763C">
      <w:start w:val="1"/>
      <w:numFmt w:val="decimal"/>
      <w:lvlText w:val="%7."/>
      <w:lvlJc w:val="left"/>
      <w:pPr>
        <w:ind w:left="5040" w:hanging="360"/>
      </w:pPr>
    </w:lvl>
    <w:lvl w:ilvl="7" w:tplc="60A8A40A">
      <w:start w:val="1"/>
      <w:numFmt w:val="lowerLetter"/>
      <w:lvlText w:val="%8."/>
      <w:lvlJc w:val="left"/>
      <w:pPr>
        <w:ind w:left="5760" w:hanging="360"/>
      </w:pPr>
    </w:lvl>
    <w:lvl w:ilvl="8" w:tplc="9A3690C4">
      <w:start w:val="1"/>
      <w:numFmt w:val="lowerRoman"/>
      <w:lvlText w:val="%9."/>
      <w:lvlJc w:val="right"/>
      <w:pPr>
        <w:ind w:left="6480" w:hanging="180"/>
      </w:pPr>
    </w:lvl>
  </w:abstractNum>
  <w:abstractNum w:abstractNumId="6" w15:restartNumberingAfterBreak="0">
    <w:nsid w:val="2517DC83"/>
    <w:multiLevelType w:val="hybridMultilevel"/>
    <w:tmpl w:val="5D2E2144"/>
    <w:lvl w:ilvl="0" w:tplc="7D965B16">
      <w:start w:val="1"/>
      <w:numFmt w:val="lowerRoman"/>
      <w:lvlText w:val="%1."/>
      <w:lvlJc w:val="right"/>
      <w:pPr>
        <w:ind w:left="720" w:hanging="360"/>
      </w:pPr>
    </w:lvl>
    <w:lvl w:ilvl="1" w:tplc="B5EA5608">
      <w:start w:val="1"/>
      <w:numFmt w:val="lowerLetter"/>
      <w:lvlText w:val="%2."/>
      <w:lvlJc w:val="left"/>
      <w:pPr>
        <w:ind w:left="1440" w:hanging="360"/>
      </w:pPr>
    </w:lvl>
    <w:lvl w:ilvl="2" w:tplc="FCD89BAA">
      <w:start w:val="1"/>
      <w:numFmt w:val="lowerRoman"/>
      <w:lvlText w:val="%3."/>
      <w:lvlJc w:val="right"/>
      <w:pPr>
        <w:ind w:left="2160" w:hanging="180"/>
      </w:pPr>
    </w:lvl>
    <w:lvl w:ilvl="3" w:tplc="485EBB62">
      <w:start w:val="1"/>
      <w:numFmt w:val="decimal"/>
      <w:lvlText w:val="%4."/>
      <w:lvlJc w:val="left"/>
      <w:pPr>
        <w:ind w:left="2880" w:hanging="360"/>
      </w:pPr>
    </w:lvl>
    <w:lvl w:ilvl="4" w:tplc="3E02504C">
      <w:start w:val="1"/>
      <w:numFmt w:val="lowerLetter"/>
      <w:lvlText w:val="%5."/>
      <w:lvlJc w:val="left"/>
      <w:pPr>
        <w:ind w:left="3600" w:hanging="360"/>
      </w:pPr>
    </w:lvl>
    <w:lvl w:ilvl="5" w:tplc="C1D0E1A8">
      <w:start w:val="1"/>
      <w:numFmt w:val="lowerRoman"/>
      <w:lvlText w:val="%6."/>
      <w:lvlJc w:val="right"/>
      <w:pPr>
        <w:ind w:left="4320" w:hanging="180"/>
      </w:pPr>
    </w:lvl>
    <w:lvl w:ilvl="6" w:tplc="8EA032D2">
      <w:start w:val="1"/>
      <w:numFmt w:val="decimal"/>
      <w:lvlText w:val="%7."/>
      <w:lvlJc w:val="left"/>
      <w:pPr>
        <w:ind w:left="5040" w:hanging="360"/>
      </w:pPr>
    </w:lvl>
    <w:lvl w:ilvl="7" w:tplc="1EDAFC72">
      <w:start w:val="1"/>
      <w:numFmt w:val="lowerLetter"/>
      <w:lvlText w:val="%8."/>
      <w:lvlJc w:val="left"/>
      <w:pPr>
        <w:ind w:left="5760" w:hanging="360"/>
      </w:pPr>
    </w:lvl>
    <w:lvl w:ilvl="8" w:tplc="3A821E9A">
      <w:start w:val="1"/>
      <w:numFmt w:val="lowerRoman"/>
      <w:lvlText w:val="%9."/>
      <w:lvlJc w:val="right"/>
      <w:pPr>
        <w:ind w:left="6480" w:hanging="180"/>
      </w:pPr>
    </w:lvl>
  </w:abstractNum>
  <w:abstractNum w:abstractNumId="7" w15:restartNumberingAfterBreak="0">
    <w:nsid w:val="26EB49F9"/>
    <w:multiLevelType w:val="hybridMultilevel"/>
    <w:tmpl w:val="3034B842"/>
    <w:lvl w:ilvl="0" w:tplc="3D8817AC">
      <w:start w:val="1"/>
      <w:numFmt w:val="decimal"/>
      <w:lvlText w:val="%1."/>
      <w:lvlJc w:val="left"/>
      <w:pPr>
        <w:ind w:left="720" w:hanging="360"/>
      </w:pPr>
    </w:lvl>
    <w:lvl w:ilvl="1" w:tplc="7388890A">
      <w:start w:val="1"/>
      <w:numFmt w:val="lowerLetter"/>
      <w:lvlText w:val="%2."/>
      <w:lvlJc w:val="left"/>
      <w:pPr>
        <w:ind w:left="1440" w:hanging="360"/>
      </w:pPr>
    </w:lvl>
    <w:lvl w:ilvl="2" w:tplc="BF7447D6">
      <w:start w:val="1"/>
      <w:numFmt w:val="lowerRoman"/>
      <w:lvlText w:val="%3."/>
      <w:lvlJc w:val="right"/>
      <w:pPr>
        <w:ind w:left="2160" w:hanging="180"/>
      </w:pPr>
    </w:lvl>
    <w:lvl w:ilvl="3" w:tplc="58A8789C">
      <w:start w:val="1"/>
      <w:numFmt w:val="decimal"/>
      <w:lvlText w:val="%4."/>
      <w:lvlJc w:val="left"/>
      <w:pPr>
        <w:ind w:left="2880" w:hanging="360"/>
      </w:pPr>
    </w:lvl>
    <w:lvl w:ilvl="4" w:tplc="81AAF1F2">
      <w:start w:val="1"/>
      <w:numFmt w:val="lowerLetter"/>
      <w:lvlText w:val="%5."/>
      <w:lvlJc w:val="left"/>
      <w:pPr>
        <w:ind w:left="3600" w:hanging="360"/>
      </w:pPr>
    </w:lvl>
    <w:lvl w:ilvl="5" w:tplc="990AA4D6">
      <w:start w:val="1"/>
      <w:numFmt w:val="lowerRoman"/>
      <w:lvlText w:val="%6."/>
      <w:lvlJc w:val="right"/>
      <w:pPr>
        <w:ind w:left="4320" w:hanging="180"/>
      </w:pPr>
    </w:lvl>
    <w:lvl w:ilvl="6" w:tplc="32C4F91A">
      <w:start w:val="1"/>
      <w:numFmt w:val="decimal"/>
      <w:lvlText w:val="%7."/>
      <w:lvlJc w:val="left"/>
      <w:pPr>
        <w:ind w:left="5040" w:hanging="360"/>
      </w:pPr>
    </w:lvl>
    <w:lvl w:ilvl="7" w:tplc="04ACB0CE">
      <w:start w:val="1"/>
      <w:numFmt w:val="lowerLetter"/>
      <w:lvlText w:val="%8."/>
      <w:lvlJc w:val="left"/>
      <w:pPr>
        <w:ind w:left="5760" w:hanging="360"/>
      </w:pPr>
    </w:lvl>
    <w:lvl w:ilvl="8" w:tplc="6C685C8E">
      <w:start w:val="1"/>
      <w:numFmt w:val="lowerRoman"/>
      <w:lvlText w:val="%9."/>
      <w:lvlJc w:val="right"/>
      <w:pPr>
        <w:ind w:left="6480" w:hanging="180"/>
      </w:pPr>
    </w:lvl>
  </w:abstractNum>
  <w:abstractNum w:abstractNumId="8" w15:restartNumberingAfterBreak="0">
    <w:nsid w:val="2B778A4D"/>
    <w:multiLevelType w:val="hybridMultilevel"/>
    <w:tmpl w:val="A2F6360A"/>
    <w:lvl w:ilvl="0" w:tplc="67FCA8AC">
      <w:start w:val="1"/>
      <w:numFmt w:val="decimal"/>
      <w:lvlText w:val="%1."/>
      <w:lvlJc w:val="left"/>
      <w:pPr>
        <w:ind w:left="720" w:hanging="360"/>
      </w:pPr>
    </w:lvl>
    <w:lvl w:ilvl="1" w:tplc="721C2B18">
      <w:start w:val="1"/>
      <w:numFmt w:val="lowerLetter"/>
      <w:lvlText w:val="%2."/>
      <w:lvlJc w:val="left"/>
      <w:pPr>
        <w:ind w:left="1440" w:hanging="360"/>
      </w:pPr>
    </w:lvl>
    <w:lvl w:ilvl="2" w:tplc="A83A5F08">
      <w:start w:val="1"/>
      <w:numFmt w:val="lowerRoman"/>
      <w:lvlText w:val="%3."/>
      <w:lvlJc w:val="right"/>
      <w:pPr>
        <w:ind w:left="2160" w:hanging="180"/>
      </w:pPr>
    </w:lvl>
    <w:lvl w:ilvl="3" w:tplc="4692AD62">
      <w:start w:val="1"/>
      <w:numFmt w:val="decimal"/>
      <w:lvlText w:val="%4."/>
      <w:lvlJc w:val="left"/>
      <w:pPr>
        <w:ind w:left="2880" w:hanging="360"/>
      </w:pPr>
    </w:lvl>
    <w:lvl w:ilvl="4" w:tplc="25E0470E">
      <w:start w:val="1"/>
      <w:numFmt w:val="lowerLetter"/>
      <w:lvlText w:val="%5."/>
      <w:lvlJc w:val="left"/>
      <w:pPr>
        <w:ind w:left="3600" w:hanging="360"/>
      </w:pPr>
    </w:lvl>
    <w:lvl w:ilvl="5" w:tplc="60700AEC">
      <w:start w:val="1"/>
      <w:numFmt w:val="lowerRoman"/>
      <w:lvlText w:val="%6."/>
      <w:lvlJc w:val="right"/>
      <w:pPr>
        <w:ind w:left="4320" w:hanging="180"/>
      </w:pPr>
    </w:lvl>
    <w:lvl w:ilvl="6" w:tplc="505085E0">
      <w:start w:val="1"/>
      <w:numFmt w:val="decimal"/>
      <w:lvlText w:val="%7."/>
      <w:lvlJc w:val="left"/>
      <w:pPr>
        <w:ind w:left="5040" w:hanging="360"/>
      </w:pPr>
    </w:lvl>
    <w:lvl w:ilvl="7" w:tplc="7F3212F6">
      <w:start w:val="1"/>
      <w:numFmt w:val="lowerLetter"/>
      <w:lvlText w:val="%8."/>
      <w:lvlJc w:val="left"/>
      <w:pPr>
        <w:ind w:left="5760" w:hanging="360"/>
      </w:pPr>
    </w:lvl>
    <w:lvl w:ilvl="8" w:tplc="B14C4D3E">
      <w:start w:val="1"/>
      <w:numFmt w:val="lowerRoman"/>
      <w:lvlText w:val="%9."/>
      <w:lvlJc w:val="right"/>
      <w:pPr>
        <w:ind w:left="6480" w:hanging="180"/>
      </w:pPr>
    </w:lvl>
  </w:abstractNum>
  <w:abstractNum w:abstractNumId="9" w15:restartNumberingAfterBreak="0">
    <w:nsid w:val="3237B2F7"/>
    <w:multiLevelType w:val="hybridMultilevel"/>
    <w:tmpl w:val="F530CC7E"/>
    <w:lvl w:ilvl="0" w:tplc="84649330">
      <w:start w:val="1"/>
      <w:numFmt w:val="bullet"/>
      <w:lvlText w:val=""/>
      <w:lvlJc w:val="left"/>
      <w:pPr>
        <w:ind w:left="720" w:hanging="360"/>
      </w:pPr>
      <w:rPr>
        <w:rFonts w:ascii="Symbol" w:hAnsi="Symbol" w:hint="default"/>
      </w:rPr>
    </w:lvl>
    <w:lvl w:ilvl="1" w:tplc="461AAD66">
      <w:start w:val="1"/>
      <w:numFmt w:val="bullet"/>
      <w:lvlText w:val="o"/>
      <w:lvlJc w:val="left"/>
      <w:pPr>
        <w:ind w:left="1440" w:hanging="360"/>
      </w:pPr>
      <w:rPr>
        <w:rFonts w:ascii="Courier New" w:hAnsi="Courier New" w:hint="default"/>
      </w:rPr>
    </w:lvl>
    <w:lvl w:ilvl="2" w:tplc="C56431C0">
      <w:start w:val="1"/>
      <w:numFmt w:val="bullet"/>
      <w:lvlText w:val=""/>
      <w:lvlJc w:val="left"/>
      <w:pPr>
        <w:ind w:left="2160" w:hanging="360"/>
      </w:pPr>
      <w:rPr>
        <w:rFonts w:ascii="Wingdings" w:hAnsi="Wingdings" w:hint="default"/>
      </w:rPr>
    </w:lvl>
    <w:lvl w:ilvl="3" w:tplc="DD267DBA">
      <w:start w:val="1"/>
      <w:numFmt w:val="bullet"/>
      <w:lvlText w:val=""/>
      <w:lvlJc w:val="left"/>
      <w:pPr>
        <w:ind w:left="2880" w:hanging="360"/>
      </w:pPr>
      <w:rPr>
        <w:rFonts w:ascii="Symbol" w:hAnsi="Symbol" w:hint="default"/>
      </w:rPr>
    </w:lvl>
    <w:lvl w:ilvl="4" w:tplc="A4F02DD8">
      <w:start w:val="1"/>
      <w:numFmt w:val="bullet"/>
      <w:lvlText w:val="o"/>
      <w:lvlJc w:val="left"/>
      <w:pPr>
        <w:ind w:left="3600" w:hanging="360"/>
      </w:pPr>
      <w:rPr>
        <w:rFonts w:ascii="Courier New" w:hAnsi="Courier New" w:hint="default"/>
      </w:rPr>
    </w:lvl>
    <w:lvl w:ilvl="5" w:tplc="26C835FA">
      <w:start w:val="1"/>
      <w:numFmt w:val="bullet"/>
      <w:lvlText w:val=""/>
      <w:lvlJc w:val="left"/>
      <w:pPr>
        <w:ind w:left="4320" w:hanging="360"/>
      </w:pPr>
      <w:rPr>
        <w:rFonts w:ascii="Wingdings" w:hAnsi="Wingdings" w:hint="default"/>
      </w:rPr>
    </w:lvl>
    <w:lvl w:ilvl="6" w:tplc="433A5B42">
      <w:start w:val="1"/>
      <w:numFmt w:val="bullet"/>
      <w:lvlText w:val=""/>
      <w:lvlJc w:val="left"/>
      <w:pPr>
        <w:ind w:left="5040" w:hanging="360"/>
      </w:pPr>
      <w:rPr>
        <w:rFonts w:ascii="Symbol" w:hAnsi="Symbol" w:hint="default"/>
      </w:rPr>
    </w:lvl>
    <w:lvl w:ilvl="7" w:tplc="67A6CA42">
      <w:start w:val="1"/>
      <w:numFmt w:val="bullet"/>
      <w:lvlText w:val="o"/>
      <w:lvlJc w:val="left"/>
      <w:pPr>
        <w:ind w:left="5760" w:hanging="360"/>
      </w:pPr>
      <w:rPr>
        <w:rFonts w:ascii="Courier New" w:hAnsi="Courier New" w:hint="default"/>
      </w:rPr>
    </w:lvl>
    <w:lvl w:ilvl="8" w:tplc="DA3EFC84">
      <w:start w:val="1"/>
      <w:numFmt w:val="bullet"/>
      <w:lvlText w:val=""/>
      <w:lvlJc w:val="left"/>
      <w:pPr>
        <w:ind w:left="6480" w:hanging="360"/>
      </w:pPr>
      <w:rPr>
        <w:rFonts w:ascii="Wingdings" w:hAnsi="Wingdings" w:hint="default"/>
      </w:rPr>
    </w:lvl>
  </w:abstractNum>
  <w:abstractNum w:abstractNumId="10" w15:restartNumberingAfterBreak="0">
    <w:nsid w:val="3E63D53E"/>
    <w:multiLevelType w:val="hybridMultilevel"/>
    <w:tmpl w:val="FCBEC4D2"/>
    <w:lvl w:ilvl="0" w:tplc="1F08E23A">
      <w:start w:val="1"/>
      <w:numFmt w:val="bullet"/>
      <w:lvlText w:val=""/>
      <w:lvlJc w:val="left"/>
      <w:pPr>
        <w:ind w:left="720" w:hanging="360"/>
      </w:pPr>
      <w:rPr>
        <w:rFonts w:ascii="Symbol" w:hAnsi="Symbol" w:hint="default"/>
      </w:rPr>
    </w:lvl>
    <w:lvl w:ilvl="1" w:tplc="5E927516">
      <w:start w:val="1"/>
      <w:numFmt w:val="bullet"/>
      <w:lvlText w:val="o"/>
      <w:lvlJc w:val="left"/>
      <w:pPr>
        <w:ind w:left="1440" w:hanging="360"/>
      </w:pPr>
      <w:rPr>
        <w:rFonts w:ascii="Courier New" w:hAnsi="Courier New" w:hint="default"/>
      </w:rPr>
    </w:lvl>
    <w:lvl w:ilvl="2" w:tplc="42D087EC">
      <w:start w:val="1"/>
      <w:numFmt w:val="bullet"/>
      <w:lvlText w:val=""/>
      <w:lvlJc w:val="left"/>
      <w:pPr>
        <w:ind w:left="2160" w:hanging="360"/>
      </w:pPr>
      <w:rPr>
        <w:rFonts w:ascii="Wingdings" w:hAnsi="Wingdings" w:hint="default"/>
      </w:rPr>
    </w:lvl>
    <w:lvl w:ilvl="3" w:tplc="009A7BEA">
      <w:start w:val="1"/>
      <w:numFmt w:val="bullet"/>
      <w:lvlText w:val=""/>
      <w:lvlJc w:val="left"/>
      <w:pPr>
        <w:ind w:left="2880" w:hanging="360"/>
      </w:pPr>
      <w:rPr>
        <w:rFonts w:ascii="Symbol" w:hAnsi="Symbol" w:hint="default"/>
      </w:rPr>
    </w:lvl>
    <w:lvl w:ilvl="4" w:tplc="43A44DFC">
      <w:start w:val="1"/>
      <w:numFmt w:val="bullet"/>
      <w:lvlText w:val="o"/>
      <w:lvlJc w:val="left"/>
      <w:pPr>
        <w:ind w:left="3600" w:hanging="360"/>
      </w:pPr>
      <w:rPr>
        <w:rFonts w:ascii="Courier New" w:hAnsi="Courier New" w:hint="default"/>
      </w:rPr>
    </w:lvl>
    <w:lvl w:ilvl="5" w:tplc="5256296C">
      <w:start w:val="1"/>
      <w:numFmt w:val="bullet"/>
      <w:lvlText w:val=""/>
      <w:lvlJc w:val="left"/>
      <w:pPr>
        <w:ind w:left="4320" w:hanging="360"/>
      </w:pPr>
      <w:rPr>
        <w:rFonts w:ascii="Wingdings" w:hAnsi="Wingdings" w:hint="default"/>
      </w:rPr>
    </w:lvl>
    <w:lvl w:ilvl="6" w:tplc="5770B7B6">
      <w:start w:val="1"/>
      <w:numFmt w:val="bullet"/>
      <w:lvlText w:val=""/>
      <w:lvlJc w:val="left"/>
      <w:pPr>
        <w:ind w:left="5040" w:hanging="360"/>
      </w:pPr>
      <w:rPr>
        <w:rFonts w:ascii="Symbol" w:hAnsi="Symbol" w:hint="default"/>
      </w:rPr>
    </w:lvl>
    <w:lvl w:ilvl="7" w:tplc="5C86F1FC">
      <w:start w:val="1"/>
      <w:numFmt w:val="bullet"/>
      <w:lvlText w:val="o"/>
      <w:lvlJc w:val="left"/>
      <w:pPr>
        <w:ind w:left="5760" w:hanging="360"/>
      </w:pPr>
      <w:rPr>
        <w:rFonts w:ascii="Courier New" w:hAnsi="Courier New" w:hint="default"/>
      </w:rPr>
    </w:lvl>
    <w:lvl w:ilvl="8" w:tplc="1A4E7ADC">
      <w:start w:val="1"/>
      <w:numFmt w:val="bullet"/>
      <w:lvlText w:val=""/>
      <w:lvlJc w:val="left"/>
      <w:pPr>
        <w:ind w:left="6480" w:hanging="360"/>
      </w:pPr>
      <w:rPr>
        <w:rFonts w:ascii="Wingdings" w:hAnsi="Wingdings" w:hint="default"/>
      </w:rPr>
    </w:lvl>
  </w:abstractNum>
  <w:abstractNum w:abstractNumId="11" w15:restartNumberingAfterBreak="0">
    <w:nsid w:val="445073B2"/>
    <w:multiLevelType w:val="hybridMultilevel"/>
    <w:tmpl w:val="993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947EC"/>
    <w:multiLevelType w:val="hybridMultilevel"/>
    <w:tmpl w:val="6DD6289C"/>
    <w:lvl w:ilvl="0" w:tplc="31CA64F0">
      <w:start w:val="1"/>
      <w:numFmt w:val="decimal"/>
      <w:lvlText w:val="%1."/>
      <w:lvlJc w:val="left"/>
      <w:pPr>
        <w:ind w:left="720" w:hanging="360"/>
      </w:pPr>
    </w:lvl>
    <w:lvl w:ilvl="1" w:tplc="D984409E">
      <w:start w:val="1"/>
      <w:numFmt w:val="lowerLetter"/>
      <w:lvlText w:val="%2."/>
      <w:lvlJc w:val="left"/>
      <w:pPr>
        <w:ind w:left="1440" w:hanging="360"/>
      </w:pPr>
    </w:lvl>
    <w:lvl w:ilvl="2" w:tplc="488EF5F6">
      <w:start w:val="1"/>
      <w:numFmt w:val="lowerRoman"/>
      <w:lvlText w:val="%3."/>
      <w:lvlJc w:val="right"/>
      <w:pPr>
        <w:ind w:left="2160" w:hanging="180"/>
      </w:pPr>
    </w:lvl>
    <w:lvl w:ilvl="3" w:tplc="A7166D5C">
      <w:start w:val="1"/>
      <w:numFmt w:val="decimal"/>
      <w:lvlText w:val="%4."/>
      <w:lvlJc w:val="left"/>
      <w:pPr>
        <w:ind w:left="2880" w:hanging="360"/>
      </w:pPr>
    </w:lvl>
    <w:lvl w:ilvl="4" w:tplc="CB68E574">
      <w:start w:val="1"/>
      <w:numFmt w:val="lowerLetter"/>
      <w:lvlText w:val="%5."/>
      <w:lvlJc w:val="left"/>
      <w:pPr>
        <w:ind w:left="3600" w:hanging="360"/>
      </w:pPr>
    </w:lvl>
    <w:lvl w:ilvl="5" w:tplc="3F9A78BA">
      <w:start w:val="1"/>
      <w:numFmt w:val="lowerRoman"/>
      <w:lvlText w:val="%6."/>
      <w:lvlJc w:val="right"/>
      <w:pPr>
        <w:ind w:left="4320" w:hanging="180"/>
      </w:pPr>
    </w:lvl>
    <w:lvl w:ilvl="6" w:tplc="0A42FA7A">
      <w:start w:val="1"/>
      <w:numFmt w:val="decimal"/>
      <w:lvlText w:val="%7."/>
      <w:lvlJc w:val="left"/>
      <w:pPr>
        <w:ind w:left="5040" w:hanging="360"/>
      </w:pPr>
    </w:lvl>
    <w:lvl w:ilvl="7" w:tplc="A204F678">
      <w:start w:val="1"/>
      <w:numFmt w:val="lowerLetter"/>
      <w:lvlText w:val="%8."/>
      <w:lvlJc w:val="left"/>
      <w:pPr>
        <w:ind w:left="5760" w:hanging="360"/>
      </w:pPr>
    </w:lvl>
    <w:lvl w:ilvl="8" w:tplc="2640B286">
      <w:start w:val="1"/>
      <w:numFmt w:val="lowerRoman"/>
      <w:lvlText w:val="%9."/>
      <w:lvlJc w:val="right"/>
      <w:pPr>
        <w:ind w:left="6480" w:hanging="180"/>
      </w:pPr>
    </w:lvl>
  </w:abstractNum>
  <w:abstractNum w:abstractNumId="13" w15:restartNumberingAfterBreak="0">
    <w:nsid w:val="4AF263E0"/>
    <w:multiLevelType w:val="hybridMultilevel"/>
    <w:tmpl w:val="A850A0D4"/>
    <w:lvl w:ilvl="0" w:tplc="4009001B">
      <w:start w:val="1"/>
      <w:numFmt w:val="lowerRoman"/>
      <w:lvlText w:val="%1."/>
      <w:lvlJc w:val="right"/>
      <w:pPr>
        <w:ind w:left="1120" w:hanging="360"/>
      </w:p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14" w15:restartNumberingAfterBreak="0">
    <w:nsid w:val="4B386C27"/>
    <w:multiLevelType w:val="multilevel"/>
    <w:tmpl w:val="E104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6662F7"/>
    <w:multiLevelType w:val="hybridMultilevel"/>
    <w:tmpl w:val="E27E77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A676B5B"/>
    <w:multiLevelType w:val="hybridMultilevel"/>
    <w:tmpl w:val="8B5EFB30"/>
    <w:lvl w:ilvl="0" w:tplc="40090001">
      <w:start w:val="1"/>
      <w:numFmt w:val="bullet"/>
      <w:lvlText w:val=""/>
      <w:lvlJc w:val="left"/>
      <w:pPr>
        <w:ind w:left="980" w:hanging="6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B3F7C4"/>
    <w:multiLevelType w:val="hybridMultilevel"/>
    <w:tmpl w:val="4AB0AB0E"/>
    <w:lvl w:ilvl="0" w:tplc="B0424D5E">
      <w:start w:val="1"/>
      <w:numFmt w:val="bullet"/>
      <w:lvlText w:val=""/>
      <w:lvlJc w:val="left"/>
      <w:pPr>
        <w:ind w:left="720" w:hanging="360"/>
      </w:pPr>
      <w:rPr>
        <w:rFonts w:ascii="Symbol" w:hAnsi="Symbol" w:hint="default"/>
      </w:rPr>
    </w:lvl>
    <w:lvl w:ilvl="1" w:tplc="6A34D24C">
      <w:start w:val="1"/>
      <w:numFmt w:val="bullet"/>
      <w:lvlText w:val="o"/>
      <w:lvlJc w:val="left"/>
      <w:pPr>
        <w:ind w:left="1440" w:hanging="360"/>
      </w:pPr>
      <w:rPr>
        <w:rFonts w:ascii="Courier New" w:hAnsi="Courier New" w:hint="default"/>
      </w:rPr>
    </w:lvl>
    <w:lvl w:ilvl="2" w:tplc="69A689C2">
      <w:start w:val="1"/>
      <w:numFmt w:val="bullet"/>
      <w:lvlText w:val=""/>
      <w:lvlJc w:val="left"/>
      <w:pPr>
        <w:ind w:left="2160" w:hanging="360"/>
      </w:pPr>
      <w:rPr>
        <w:rFonts w:ascii="Wingdings" w:hAnsi="Wingdings" w:hint="default"/>
      </w:rPr>
    </w:lvl>
    <w:lvl w:ilvl="3" w:tplc="5B2E589E">
      <w:start w:val="1"/>
      <w:numFmt w:val="bullet"/>
      <w:lvlText w:val=""/>
      <w:lvlJc w:val="left"/>
      <w:pPr>
        <w:ind w:left="2880" w:hanging="360"/>
      </w:pPr>
      <w:rPr>
        <w:rFonts w:ascii="Symbol" w:hAnsi="Symbol" w:hint="default"/>
      </w:rPr>
    </w:lvl>
    <w:lvl w:ilvl="4" w:tplc="0B54F990">
      <w:start w:val="1"/>
      <w:numFmt w:val="bullet"/>
      <w:lvlText w:val="o"/>
      <w:lvlJc w:val="left"/>
      <w:pPr>
        <w:ind w:left="3600" w:hanging="360"/>
      </w:pPr>
      <w:rPr>
        <w:rFonts w:ascii="Courier New" w:hAnsi="Courier New" w:hint="default"/>
      </w:rPr>
    </w:lvl>
    <w:lvl w:ilvl="5" w:tplc="9878CBF6">
      <w:start w:val="1"/>
      <w:numFmt w:val="bullet"/>
      <w:lvlText w:val=""/>
      <w:lvlJc w:val="left"/>
      <w:pPr>
        <w:ind w:left="4320" w:hanging="360"/>
      </w:pPr>
      <w:rPr>
        <w:rFonts w:ascii="Wingdings" w:hAnsi="Wingdings" w:hint="default"/>
      </w:rPr>
    </w:lvl>
    <w:lvl w:ilvl="6" w:tplc="518E4596">
      <w:start w:val="1"/>
      <w:numFmt w:val="bullet"/>
      <w:lvlText w:val=""/>
      <w:lvlJc w:val="left"/>
      <w:pPr>
        <w:ind w:left="5040" w:hanging="360"/>
      </w:pPr>
      <w:rPr>
        <w:rFonts w:ascii="Symbol" w:hAnsi="Symbol" w:hint="default"/>
      </w:rPr>
    </w:lvl>
    <w:lvl w:ilvl="7" w:tplc="E25C99A6">
      <w:start w:val="1"/>
      <w:numFmt w:val="bullet"/>
      <w:lvlText w:val="o"/>
      <w:lvlJc w:val="left"/>
      <w:pPr>
        <w:ind w:left="5760" w:hanging="360"/>
      </w:pPr>
      <w:rPr>
        <w:rFonts w:ascii="Courier New" w:hAnsi="Courier New" w:hint="default"/>
      </w:rPr>
    </w:lvl>
    <w:lvl w:ilvl="8" w:tplc="0DB2C82C">
      <w:start w:val="1"/>
      <w:numFmt w:val="bullet"/>
      <w:lvlText w:val=""/>
      <w:lvlJc w:val="left"/>
      <w:pPr>
        <w:ind w:left="6480" w:hanging="360"/>
      </w:pPr>
      <w:rPr>
        <w:rFonts w:ascii="Wingdings" w:hAnsi="Wingdings" w:hint="default"/>
      </w:rPr>
    </w:lvl>
  </w:abstractNum>
  <w:abstractNum w:abstractNumId="18" w15:restartNumberingAfterBreak="0">
    <w:nsid w:val="623DAAA3"/>
    <w:multiLevelType w:val="hybridMultilevel"/>
    <w:tmpl w:val="E7786912"/>
    <w:lvl w:ilvl="0" w:tplc="341EDF5E">
      <w:start w:val="1"/>
      <w:numFmt w:val="decimal"/>
      <w:lvlText w:val="%1."/>
      <w:lvlJc w:val="left"/>
      <w:pPr>
        <w:ind w:left="720" w:hanging="360"/>
      </w:pPr>
    </w:lvl>
    <w:lvl w:ilvl="1" w:tplc="C28AD952">
      <w:start w:val="1"/>
      <w:numFmt w:val="lowerLetter"/>
      <w:lvlText w:val="%2."/>
      <w:lvlJc w:val="left"/>
      <w:pPr>
        <w:ind w:left="1440" w:hanging="360"/>
      </w:pPr>
    </w:lvl>
    <w:lvl w:ilvl="2" w:tplc="A7D887B8">
      <w:start w:val="1"/>
      <w:numFmt w:val="lowerRoman"/>
      <w:lvlText w:val="%3."/>
      <w:lvlJc w:val="right"/>
      <w:pPr>
        <w:ind w:left="2160" w:hanging="180"/>
      </w:pPr>
    </w:lvl>
    <w:lvl w:ilvl="3" w:tplc="3392E2CA">
      <w:start w:val="1"/>
      <w:numFmt w:val="decimal"/>
      <w:lvlText w:val="%4."/>
      <w:lvlJc w:val="left"/>
      <w:pPr>
        <w:ind w:left="2880" w:hanging="360"/>
      </w:pPr>
    </w:lvl>
    <w:lvl w:ilvl="4" w:tplc="096498C4">
      <w:start w:val="1"/>
      <w:numFmt w:val="lowerLetter"/>
      <w:lvlText w:val="%5."/>
      <w:lvlJc w:val="left"/>
      <w:pPr>
        <w:ind w:left="3600" w:hanging="360"/>
      </w:pPr>
    </w:lvl>
    <w:lvl w:ilvl="5" w:tplc="3682963A">
      <w:start w:val="1"/>
      <w:numFmt w:val="lowerRoman"/>
      <w:lvlText w:val="%6."/>
      <w:lvlJc w:val="right"/>
      <w:pPr>
        <w:ind w:left="4320" w:hanging="180"/>
      </w:pPr>
    </w:lvl>
    <w:lvl w:ilvl="6" w:tplc="A972F70C">
      <w:start w:val="1"/>
      <w:numFmt w:val="decimal"/>
      <w:lvlText w:val="%7."/>
      <w:lvlJc w:val="left"/>
      <w:pPr>
        <w:ind w:left="5040" w:hanging="360"/>
      </w:pPr>
    </w:lvl>
    <w:lvl w:ilvl="7" w:tplc="2B04B0BA">
      <w:start w:val="1"/>
      <w:numFmt w:val="lowerLetter"/>
      <w:lvlText w:val="%8."/>
      <w:lvlJc w:val="left"/>
      <w:pPr>
        <w:ind w:left="5760" w:hanging="360"/>
      </w:pPr>
    </w:lvl>
    <w:lvl w:ilvl="8" w:tplc="5B66DB2C">
      <w:start w:val="1"/>
      <w:numFmt w:val="lowerRoman"/>
      <w:lvlText w:val="%9."/>
      <w:lvlJc w:val="right"/>
      <w:pPr>
        <w:ind w:left="6480" w:hanging="180"/>
      </w:pPr>
    </w:lvl>
  </w:abstractNum>
  <w:abstractNum w:abstractNumId="19" w15:restartNumberingAfterBreak="0">
    <w:nsid w:val="64921241"/>
    <w:multiLevelType w:val="multilevel"/>
    <w:tmpl w:val="EBF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ED1F5E"/>
    <w:multiLevelType w:val="hybridMultilevel"/>
    <w:tmpl w:val="01C8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2B52AA"/>
    <w:multiLevelType w:val="hybridMultilevel"/>
    <w:tmpl w:val="655877F8"/>
    <w:lvl w:ilvl="0" w:tplc="5D54FC08">
      <w:start w:val="1"/>
      <w:numFmt w:val="lowerRoman"/>
      <w:lvlText w:val="%1."/>
      <w:lvlJc w:val="left"/>
      <w:pPr>
        <w:ind w:left="1120" w:hanging="72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22" w15:restartNumberingAfterBreak="0">
    <w:nsid w:val="69F065EE"/>
    <w:multiLevelType w:val="hybridMultilevel"/>
    <w:tmpl w:val="458C65B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967497"/>
    <w:multiLevelType w:val="hybridMultilevel"/>
    <w:tmpl w:val="9D5E84A8"/>
    <w:lvl w:ilvl="0" w:tplc="A830D27A">
      <w:start w:val="1"/>
      <w:numFmt w:val="lowerRoman"/>
      <w:lvlText w:val="%1."/>
      <w:lvlJc w:val="right"/>
      <w:pPr>
        <w:ind w:left="720" w:hanging="360"/>
      </w:pPr>
    </w:lvl>
    <w:lvl w:ilvl="1" w:tplc="2364F7C0">
      <w:start w:val="1"/>
      <w:numFmt w:val="lowerLetter"/>
      <w:lvlText w:val="%2."/>
      <w:lvlJc w:val="left"/>
      <w:pPr>
        <w:ind w:left="1440" w:hanging="360"/>
      </w:pPr>
    </w:lvl>
    <w:lvl w:ilvl="2" w:tplc="2DDA655E">
      <w:start w:val="1"/>
      <w:numFmt w:val="lowerRoman"/>
      <w:lvlText w:val="%3."/>
      <w:lvlJc w:val="right"/>
      <w:pPr>
        <w:ind w:left="2160" w:hanging="180"/>
      </w:pPr>
    </w:lvl>
    <w:lvl w:ilvl="3" w:tplc="395CF59C">
      <w:start w:val="1"/>
      <w:numFmt w:val="decimal"/>
      <w:lvlText w:val="%4."/>
      <w:lvlJc w:val="left"/>
      <w:pPr>
        <w:ind w:left="2880" w:hanging="360"/>
      </w:pPr>
    </w:lvl>
    <w:lvl w:ilvl="4" w:tplc="E1DA0BF4">
      <w:start w:val="1"/>
      <w:numFmt w:val="lowerLetter"/>
      <w:lvlText w:val="%5."/>
      <w:lvlJc w:val="left"/>
      <w:pPr>
        <w:ind w:left="3600" w:hanging="360"/>
      </w:pPr>
    </w:lvl>
    <w:lvl w:ilvl="5" w:tplc="F654C032">
      <w:start w:val="1"/>
      <w:numFmt w:val="lowerRoman"/>
      <w:lvlText w:val="%6."/>
      <w:lvlJc w:val="right"/>
      <w:pPr>
        <w:ind w:left="4320" w:hanging="180"/>
      </w:pPr>
    </w:lvl>
    <w:lvl w:ilvl="6" w:tplc="D6B2F684">
      <w:start w:val="1"/>
      <w:numFmt w:val="decimal"/>
      <w:lvlText w:val="%7."/>
      <w:lvlJc w:val="left"/>
      <w:pPr>
        <w:ind w:left="5040" w:hanging="360"/>
      </w:pPr>
    </w:lvl>
    <w:lvl w:ilvl="7" w:tplc="C5106E3E">
      <w:start w:val="1"/>
      <w:numFmt w:val="lowerLetter"/>
      <w:lvlText w:val="%8."/>
      <w:lvlJc w:val="left"/>
      <w:pPr>
        <w:ind w:left="5760" w:hanging="360"/>
      </w:pPr>
    </w:lvl>
    <w:lvl w:ilvl="8" w:tplc="C6706346">
      <w:start w:val="1"/>
      <w:numFmt w:val="lowerRoman"/>
      <w:lvlText w:val="%9."/>
      <w:lvlJc w:val="right"/>
      <w:pPr>
        <w:ind w:left="6480" w:hanging="180"/>
      </w:pPr>
    </w:lvl>
  </w:abstractNum>
  <w:abstractNum w:abstractNumId="24" w15:restartNumberingAfterBreak="0">
    <w:nsid w:val="6FF6CFED"/>
    <w:multiLevelType w:val="hybridMultilevel"/>
    <w:tmpl w:val="6C2AEAC8"/>
    <w:lvl w:ilvl="0" w:tplc="81B6B792">
      <w:start w:val="1"/>
      <w:numFmt w:val="decimal"/>
      <w:lvlText w:val="%1."/>
      <w:lvlJc w:val="left"/>
      <w:pPr>
        <w:ind w:left="720" w:hanging="360"/>
      </w:pPr>
    </w:lvl>
    <w:lvl w:ilvl="1" w:tplc="F0466218">
      <w:start w:val="1"/>
      <w:numFmt w:val="lowerLetter"/>
      <w:lvlText w:val="%2."/>
      <w:lvlJc w:val="left"/>
      <w:pPr>
        <w:ind w:left="1440" w:hanging="360"/>
      </w:pPr>
    </w:lvl>
    <w:lvl w:ilvl="2" w:tplc="ABCE6C1A">
      <w:start w:val="1"/>
      <w:numFmt w:val="lowerRoman"/>
      <w:lvlText w:val="%3."/>
      <w:lvlJc w:val="right"/>
      <w:pPr>
        <w:ind w:left="2160" w:hanging="180"/>
      </w:pPr>
    </w:lvl>
    <w:lvl w:ilvl="3" w:tplc="9DC86F92">
      <w:start w:val="1"/>
      <w:numFmt w:val="decimal"/>
      <w:lvlText w:val="%4."/>
      <w:lvlJc w:val="left"/>
      <w:pPr>
        <w:ind w:left="2880" w:hanging="360"/>
      </w:pPr>
    </w:lvl>
    <w:lvl w:ilvl="4" w:tplc="9CB8EEE0">
      <w:start w:val="1"/>
      <w:numFmt w:val="lowerLetter"/>
      <w:lvlText w:val="%5."/>
      <w:lvlJc w:val="left"/>
      <w:pPr>
        <w:ind w:left="3600" w:hanging="360"/>
      </w:pPr>
    </w:lvl>
    <w:lvl w:ilvl="5" w:tplc="B290AD90">
      <w:start w:val="1"/>
      <w:numFmt w:val="lowerRoman"/>
      <w:lvlText w:val="%6."/>
      <w:lvlJc w:val="right"/>
      <w:pPr>
        <w:ind w:left="4320" w:hanging="180"/>
      </w:pPr>
    </w:lvl>
    <w:lvl w:ilvl="6" w:tplc="09E28B38">
      <w:start w:val="1"/>
      <w:numFmt w:val="decimal"/>
      <w:lvlText w:val="%7."/>
      <w:lvlJc w:val="left"/>
      <w:pPr>
        <w:ind w:left="5040" w:hanging="360"/>
      </w:pPr>
    </w:lvl>
    <w:lvl w:ilvl="7" w:tplc="62F25816">
      <w:start w:val="1"/>
      <w:numFmt w:val="lowerLetter"/>
      <w:lvlText w:val="%8."/>
      <w:lvlJc w:val="left"/>
      <w:pPr>
        <w:ind w:left="5760" w:hanging="360"/>
      </w:pPr>
    </w:lvl>
    <w:lvl w:ilvl="8" w:tplc="DD4078EE">
      <w:start w:val="1"/>
      <w:numFmt w:val="lowerRoman"/>
      <w:lvlText w:val="%9."/>
      <w:lvlJc w:val="right"/>
      <w:pPr>
        <w:ind w:left="6480" w:hanging="180"/>
      </w:pPr>
    </w:lvl>
  </w:abstractNum>
  <w:abstractNum w:abstractNumId="25" w15:restartNumberingAfterBreak="0">
    <w:nsid w:val="7874FC7A"/>
    <w:multiLevelType w:val="hybridMultilevel"/>
    <w:tmpl w:val="96688A78"/>
    <w:lvl w:ilvl="0" w:tplc="ABB0FE4E">
      <w:start w:val="1"/>
      <w:numFmt w:val="bullet"/>
      <w:lvlText w:val=""/>
      <w:lvlJc w:val="left"/>
      <w:pPr>
        <w:ind w:left="720" w:hanging="360"/>
      </w:pPr>
      <w:rPr>
        <w:rFonts w:ascii="Symbol" w:hAnsi="Symbol" w:hint="default"/>
      </w:rPr>
    </w:lvl>
    <w:lvl w:ilvl="1" w:tplc="926CAD70">
      <w:start w:val="1"/>
      <w:numFmt w:val="bullet"/>
      <w:lvlText w:val="o"/>
      <w:lvlJc w:val="left"/>
      <w:pPr>
        <w:ind w:left="1440" w:hanging="360"/>
      </w:pPr>
      <w:rPr>
        <w:rFonts w:ascii="Courier New" w:hAnsi="Courier New" w:hint="default"/>
      </w:rPr>
    </w:lvl>
    <w:lvl w:ilvl="2" w:tplc="2A205C92">
      <w:start w:val="1"/>
      <w:numFmt w:val="bullet"/>
      <w:lvlText w:val=""/>
      <w:lvlJc w:val="left"/>
      <w:pPr>
        <w:ind w:left="2160" w:hanging="360"/>
      </w:pPr>
      <w:rPr>
        <w:rFonts w:ascii="Wingdings" w:hAnsi="Wingdings" w:hint="default"/>
      </w:rPr>
    </w:lvl>
    <w:lvl w:ilvl="3" w:tplc="C94634D0">
      <w:start w:val="1"/>
      <w:numFmt w:val="bullet"/>
      <w:lvlText w:val=""/>
      <w:lvlJc w:val="left"/>
      <w:pPr>
        <w:ind w:left="2880" w:hanging="360"/>
      </w:pPr>
      <w:rPr>
        <w:rFonts w:ascii="Symbol" w:hAnsi="Symbol" w:hint="default"/>
      </w:rPr>
    </w:lvl>
    <w:lvl w:ilvl="4" w:tplc="66D0A7F0">
      <w:start w:val="1"/>
      <w:numFmt w:val="bullet"/>
      <w:lvlText w:val="o"/>
      <w:lvlJc w:val="left"/>
      <w:pPr>
        <w:ind w:left="3600" w:hanging="360"/>
      </w:pPr>
      <w:rPr>
        <w:rFonts w:ascii="Courier New" w:hAnsi="Courier New" w:hint="default"/>
      </w:rPr>
    </w:lvl>
    <w:lvl w:ilvl="5" w:tplc="5104A07E">
      <w:start w:val="1"/>
      <w:numFmt w:val="bullet"/>
      <w:lvlText w:val=""/>
      <w:lvlJc w:val="left"/>
      <w:pPr>
        <w:ind w:left="4320" w:hanging="360"/>
      </w:pPr>
      <w:rPr>
        <w:rFonts w:ascii="Wingdings" w:hAnsi="Wingdings" w:hint="default"/>
      </w:rPr>
    </w:lvl>
    <w:lvl w:ilvl="6" w:tplc="7F88E624">
      <w:start w:val="1"/>
      <w:numFmt w:val="bullet"/>
      <w:lvlText w:val=""/>
      <w:lvlJc w:val="left"/>
      <w:pPr>
        <w:ind w:left="5040" w:hanging="360"/>
      </w:pPr>
      <w:rPr>
        <w:rFonts w:ascii="Symbol" w:hAnsi="Symbol" w:hint="default"/>
      </w:rPr>
    </w:lvl>
    <w:lvl w:ilvl="7" w:tplc="70500F92">
      <w:start w:val="1"/>
      <w:numFmt w:val="bullet"/>
      <w:lvlText w:val="o"/>
      <w:lvlJc w:val="left"/>
      <w:pPr>
        <w:ind w:left="5760" w:hanging="360"/>
      </w:pPr>
      <w:rPr>
        <w:rFonts w:ascii="Courier New" w:hAnsi="Courier New" w:hint="default"/>
      </w:rPr>
    </w:lvl>
    <w:lvl w:ilvl="8" w:tplc="A1445994">
      <w:start w:val="1"/>
      <w:numFmt w:val="bullet"/>
      <w:lvlText w:val=""/>
      <w:lvlJc w:val="left"/>
      <w:pPr>
        <w:ind w:left="6480" w:hanging="360"/>
      </w:pPr>
      <w:rPr>
        <w:rFonts w:ascii="Wingdings" w:hAnsi="Wingdings" w:hint="default"/>
      </w:rPr>
    </w:lvl>
  </w:abstractNum>
  <w:abstractNum w:abstractNumId="26" w15:restartNumberingAfterBreak="0">
    <w:nsid w:val="79DD542A"/>
    <w:multiLevelType w:val="hybridMultilevel"/>
    <w:tmpl w:val="45588F96"/>
    <w:lvl w:ilvl="0" w:tplc="178EE87A">
      <w:start w:val="1"/>
      <w:numFmt w:val="upp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580B55"/>
    <w:multiLevelType w:val="hybridMultilevel"/>
    <w:tmpl w:val="D3B8E94A"/>
    <w:lvl w:ilvl="0" w:tplc="80FCC556">
      <w:start w:val="1"/>
      <w:numFmt w:val="lowerRoman"/>
      <w:lvlText w:val="%1)"/>
      <w:lvlJc w:val="right"/>
      <w:pPr>
        <w:ind w:left="720" w:hanging="360"/>
      </w:pPr>
    </w:lvl>
    <w:lvl w:ilvl="1" w:tplc="2A381954">
      <w:start w:val="1"/>
      <w:numFmt w:val="lowerLetter"/>
      <w:lvlText w:val="%2."/>
      <w:lvlJc w:val="left"/>
      <w:pPr>
        <w:ind w:left="1440" w:hanging="360"/>
      </w:pPr>
    </w:lvl>
    <w:lvl w:ilvl="2" w:tplc="F6DAC1FC">
      <w:start w:val="1"/>
      <w:numFmt w:val="lowerRoman"/>
      <w:lvlText w:val="%3."/>
      <w:lvlJc w:val="right"/>
      <w:pPr>
        <w:ind w:left="2160" w:hanging="180"/>
      </w:pPr>
    </w:lvl>
    <w:lvl w:ilvl="3" w:tplc="79D09E36">
      <w:start w:val="1"/>
      <w:numFmt w:val="decimal"/>
      <w:lvlText w:val="%4."/>
      <w:lvlJc w:val="left"/>
      <w:pPr>
        <w:ind w:left="2880" w:hanging="360"/>
      </w:pPr>
    </w:lvl>
    <w:lvl w:ilvl="4" w:tplc="228E0424">
      <w:start w:val="1"/>
      <w:numFmt w:val="lowerLetter"/>
      <w:lvlText w:val="%5."/>
      <w:lvlJc w:val="left"/>
      <w:pPr>
        <w:ind w:left="3600" w:hanging="360"/>
      </w:pPr>
    </w:lvl>
    <w:lvl w:ilvl="5" w:tplc="1C04117A">
      <w:start w:val="1"/>
      <w:numFmt w:val="lowerRoman"/>
      <w:lvlText w:val="%6."/>
      <w:lvlJc w:val="right"/>
      <w:pPr>
        <w:ind w:left="4320" w:hanging="180"/>
      </w:pPr>
    </w:lvl>
    <w:lvl w:ilvl="6" w:tplc="C3263D92">
      <w:start w:val="1"/>
      <w:numFmt w:val="decimal"/>
      <w:lvlText w:val="%7."/>
      <w:lvlJc w:val="left"/>
      <w:pPr>
        <w:ind w:left="5040" w:hanging="360"/>
      </w:pPr>
    </w:lvl>
    <w:lvl w:ilvl="7" w:tplc="56708D46">
      <w:start w:val="1"/>
      <w:numFmt w:val="lowerLetter"/>
      <w:lvlText w:val="%8."/>
      <w:lvlJc w:val="left"/>
      <w:pPr>
        <w:ind w:left="5760" w:hanging="360"/>
      </w:pPr>
    </w:lvl>
    <w:lvl w:ilvl="8" w:tplc="346219B2">
      <w:start w:val="1"/>
      <w:numFmt w:val="lowerRoman"/>
      <w:lvlText w:val="%9."/>
      <w:lvlJc w:val="right"/>
      <w:pPr>
        <w:ind w:left="6480" w:hanging="180"/>
      </w:pPr>
    </w:lvl>
  </w:abstractNum>
  <w:abstractNum w:abstractNumId="28" w15:restartNumberingAfterBreak="0">
    <w:nsid w:val="7CF96269"/>
    <w:multiLevelType w:val="hybridMultilevel"/>
    <w:tmpl w:val="819A5504"/>
    <w:lvl w:ilvl="0" w:tplc="01B8284A">
      <w:start w:val="1"/>
      <w:numFmt w:val="lowerRoman"/>
      <w:lvlText w:val="%1."/>
      <w:lvlJc w:val="right"/>
      <w:pPr>
        <w:ind w:left="1080" w:hanging="360"/>
      </w:pPr>
    </w:lvl>
    <w:lvl w:ilvl="1" w:tplc="13E0B9F0">
      <w:start w:val="1"/>
      <w:numFmt w:val="lowerLetter"/>
      <w:lvlText w:val="%2."/>
      <w:lvlJc w:val="left"/>
      <w:pPr>
        <w:ind w:left="1800" w:hanging="360"/>
      </w:pPr>
    </w:lvl>
    <w:lvl w:ilvl="2" w:tplc="D652C670">
      <w:start w:val="1"/>
      <w:numFmt w:val="lowerRoman"/>
      <w:lvlText w:val="%3."/>
      <w:lvlJc w:val="right"/>
      <w:pPr>
        <w:ind w:left="2520" w:hanging="180"/>
      </w:pPr>
    </w:lvl>
    <w:lvl w:ilvl="3" w:tplc="4C608C96">
      <w:start w:val="1"/>
      <w:numFmt w:val="decimal"/>
      <w:lvlText w:val="%4."/>
      <w:lvlJc w:val="left"/>
      <w:pPr>
        <w:ind w:left="3240" w:hanging="360"/>
      </w:pPr>
    </w:lvl>
    <w:lvl w:ilvl="4" w:tplc="B9CC6956">
      <w:start w:val="1"/>
      <w:numFmt w:val="lowerLetter"/>
      <w:lvlText w:val="%5."/>
      <w:lvlJc w:val="left"/>
      <w:pPr>
        <w:ind w:left="3960" w:hanging="360"/>
      </w:pPr>
    </w:lvl>
    <w:lvl w:ilvl="5" w:tplc="7D5E1896">
      <w:start w:val="1"/>
      <w:numFmt w:val="lowerRoman"/>
      <w:lvlText w:val="%6."/>
      <w:lvlJc w:val="right"/>
      <w:pPr>
        <w:ind w:left="4680" w:hanging="180"/>
      </w:pPr>
    </w:lvl>
    <w:lvl w:ilvl="6" w:tplc="A3F8DA10">
      <w:start w:val="1"/>
      <w:numFmt w:val="decimal"/>
      <w:lvlText w:val="%7."/>
      <w:lvlJc w:val="left"/>
      <w:pPr>
        <w:ind w:left="5400" w:hanging="360"/>
      </w:pPr>
    </w:lvl>
    <w:lvl w:ilvl="7" w:tplc="3132CAF2">
      <w:start w:val="1"/>
      <w:numFmt w:val="lowerLetter"/>
      <w:lvlText w:val="%8."/>
      <w:lvlJc w:val="left"/>
      <w:pPr>
        <w:ind w:left="6120" w:hanging="360"/>
      </w:pPr>
    </w:lvl>
    <w:lvl w:ilvl="8" w:tplc="4FA2882E">
      <w:start w:val="1"/>
      <w:numFmt w:val="lowerRoman"/>
      <w:lvlText w:val="%9."/>
      <w:lvlJc w:val="right"/>
      <w:pPr>
        <w:ind w:left="6840" w:hanging="180"/>
      </w:pPr>
    </w:lvl>
  </w:abstractNum>
  <w:abstractNum w:abstractNumId="29" w15:restartNumberingAfterBreak="0">
    <w:nsid w:val="7EC1685D"/>
    <w:multiLevelType w:val="hybridMultilevel"/>
    <w:tmpl w:val="76680C40"/>
    <w:lvl w:ilvl="0" w:tplc="65E2FE48">
      <w:start w:val="1"/>
      <w:numFmt w:val="bullet"/>
      <w:lvlText w:val=""/>
      <w:lvlJc w:val="left"/>
      <w:pPr>
        <w:ind w:left="720" w:hanging="360"/>
      </w:pPr>
      <w:rPr>
        <w:rFonts w:ascii="Symbol" w:hAnsi="Symbol" w:hint="default"/>
      </w:rPr>
    </w:lvl>
    <w:lvl w:ilvl="1" w:tplc="B4E2D848">
      <w:start w:val="1"/>
      <w:numFmt w:val="bullet"/>
      <w:lvlText w:val="o"/>
      <w:lvlJc w:val="left"/>
      <w:pPr>
        <w:ind w:left="1440" w:hanging="360"/>
      </w:pPr>
      <w:rPr>
        <w:rFonts w:ascii="Courier New" w:hAnsi="Courier New" w:hint="default"/>
      </w:rPr>
    </w:lvl>
    <w:lvl w:ilvl="2" w:tplc="D6D414CA">
      <w:start w:val="1"/>
      <w:numFmt w:val="bullet"/>
      <w:lvlText w:val=""/>
      <w:lvlJc w:val="left"/>
      <w:pPr>
        <w:ind w:left="2160" w:hanging="360"/>
      </w:pPr>
      <w:rPr>
        <w:rFonts w:ascii="Wingdings" w:hAnsi="Wingdings" w:hint="default"/>
      </w:rPr>
    </w:lvl>
    <w:lvl w:ilvl="3" w:tplc="0C6CEBC8">
      <w:start w:val="1"/>
      <w:numFmt w:val="bullet"/>
      <w:lvlText w:val=""/>
      <w:lvlJc w:val="left"/>
      <w:pPr>
        <w:ind w:left="2880" w:hanging="360"/>
      </w:pPr>
      <w:rPr>
        <w:rFonts w:ascii="Symbol" w:hAnsi="Symbol" w:hint="default"/>
      </w:rPr>
    </w:lvl>
    <w:lvl w:ilvl="4" w:tplc="DEC6DB18">
      <w:start w:val="1"/>
      <w:numFmt w:val="bullet"/>
      <w:lvlText w:val="o"/>
      <w:lvlJc w:val="left"/>
      <w:pPr>
        <w:ind w:left="3600" w:hanging="360"/>
      </w:pPr>
      <w:rPr>
        <w:rFonts w:ascii="Courier New" w:hAnsi="Courier New" w:hint="default"/>
      </w:rPr>
    </w:lvl>
    <w:lvl w:ilvl="5" w:tplc="A4A28318">
      <w:start w:val="1"/>
      <w:numFmt w:val="bullet"/>
      <w:lvlText w:val=""/>
      <w:lvlJc w:val="left"/>
      <w:pPr>
        <w:ind w:left="4320" w:hanging="360"/>
      </w:pPr>
      <w:rPr>
        <w:rFonts w:ascii="Wingdings" w:hAnsi="Wingdings" w:hint="default"/>
      </w:rPr>
    </w:lvl>
    <w:lvl w:ilvl="6" w:tplc="CF36032A">
      <w:start w:val="1"/>
      <w:numFmt w:val="bullet"/>
      <w:lvlText w:val=""/>
      <w:lvlJc w:val="left"/>
      <w:pPr>
        <w:ind w:left="5040" w:hanging="360"/>
      </w:pPr>
      <w:rPr>
        <w:rFonts w:ascii="Symbol" w:hAnsi="Symbol" w:hint="default"/>
      </w:rPr>
    </w:lvl>
    <w:lvl w:ilvl="7" w:tplc="DB9A31C2">
      <w:start w:val="1"/>
      <w:numFmt w:val="bullet"/>
      <w:lvlText w:val="o"/>
      <w:lvlJc w:val="left"/>
      <w:pPr>
        <w:ind w:left="5760" w:hanging="360"/>
      </w:pPr>
      <w:rPr>
        <w:rFonts w:ascii="Courier New" w:hAnsi="Courier New" w:hint="default"/>
      </w:rPr>
    </w:lvl>
    <w:lvl w:ilvl="8" w:tplc="43A6A2B8">
      <w:start w:val="1"/>
      <w:numFmt w:val="bullet"/>
      <w:lvlText w:val=""/>
      <w:lvlJc w:val="left"/>
      <w:pPr>
        <w:ind w:left="6480" w:hanging="360"/>
      </w:pPr>
      <w:rPr>
        <w:rFonts w:ascii="Wingdings" w:hAnsi="Wingdings" w:hint="default"/>
      </w:rPr>
    </w:lvl>
  </w:abstractNum>
  <w:num w:numId="1" w16cid:durableId="410588174">
    <w:abstractNumId w:val="17"/>
  </w:num>
  <w:num w:numId="2" w16cid:durableId="1774473464">
    <w:abstractNumId w:val="25"/>
  </w:num>
  <w:num w:numId="3" w16cid:durableId="1859348636">
    <w:abstractNumId w:val="29"/>
  </w:num>
  <w:num w:numId="4" w16cid:durableId="1601639519">
    <w:abstractNumId w:val="10"/>
  </w:num>
  <w:num w:numId="5" w16cid:durableId="1035741382">
    <w:abstractNumId w:val="9"/>
  </w:num>
  <w:num w:numId="6" w16cid:durableId="1835753964">
    <w:abstractNumId w:val="2"/>
  </w:num>
  <w:num w:numId="7" w16cid:durableId="1684741179">
    <w:abstractNumId w:val="28"/>
  </w:num>
  <w:num w:numId="8" w16cid:durableId="595791995">
    <w:abstractNumId w:val="6"/>
  </w:num>
  <w:num w:numId="9" w16cid:durableId="1748184802">
    <w:abstractNumId w:val="0"/>
  </w:num>
  <w:num w:numId="10" w16cid:durableId="24865335">
    <w:abstractNumId w:val="5"/>
  </w:num>
  <w:num w:numId="11" w16cid:durableId="1417751889">
    <w:abstractNumId w:val="23"/>
  </w:num>
  <w:num w:numId="12" w16cid:durableId="997073435">
    <w:abstractNumId w:val="27"/>
  </w:num>
  <w:num w:numId="13" w16cid:durableId="730428672">
    <w:abstractNumId w:val="8"/>
  </w:num>
  <w:num w:numId="14" w16cid:durableId="1053578009">
    <w:abstractNumId w:val="7"/>
  </w:num>
  <w:num w:numId="15" w16cid:durableId="924073702">
    <w:abstractNumId w:val="24"/>
  </w:num>
  <w:num w:numId="16" w16cid:durableId="937761817">
    <w:abstractNumId w:val="12"/>
  </w:num>
  <w:num w:numId="17" w16cid:durableId="1337003490">
    <w:abstractNumId w:val="18"/>
  </w:num>
  <w:num w:numId="18" w16cid:durableId="1297174724">
    <w:abstractNumId w:val="11"/>
  </w:num>
  <w:num w:numId="19" w16cid:durableId="1937715449">
    <w:abstractNumId w:val="26"/>
  </w:num>
  <w:num w:numId="20" w16cid:durableId="1837527416">
    <w:abstractNumId w:val="20"/>
  </w:num>
  <w:num w:numId="21" w16cid:durableId="483622006">
    <w:abstractNumId w:val="1"/>
  </w:num>
  <w:num w:numId="22" w16cid:durableId="837118801">
    <w:abstractNumId w:val="15"/>
  </w:num>
  <w:num w:numId="23" w16cid:durableId="1234436852">
    <w:abstractNumId w:val="4"/>
  </w:num>
  <w:num w:numId="24" w16cid:durableId="1387604332">
    <w:abstractNumId w:val="16"/>
  </w:num>
  <w:num w:numId="25" w16cid:durableId="1270816350">
    <w:abstractNumId w:val="3"/>
  </w:num>
  <w:num w:numId="26" w16cid:durableId="21128216">
    <w:abstractNumId w:val="13"/>
  </w:num>
  <w:num w:numId="27" w16cid:durableId="1730881532">
    <w:abstractNumId w:val="21"/>
  </w:num>
  <w:num w:numId="28" w16cid:durableId="1208491569">
    <w:abstractNumId w:val="22"/>
  </w:num>
  <w:num w:numId="29" w16cid:durableId="197620010">
    <w:abstractNumId w:val="14"/>
  </w:num>
  <w:num w:numId="30" w16cid:durableId="6248967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xp0xprptsddnedxa8vpwpfv020e959s9dd&quot;&gt;My EndNote Library&lt;record-ids&gt;&lt;item&gt;72&lt;/item&gt;&lt;item&gt;73&lt;/item&gt;&lt;item&gt;74&lt;/item&gt;&lt;item&gt;75&lt;/item&gt;&lt;item&gt;76&lt;/item&gt;&lt;item&gt;77&lt;/item&gt;&lt;item&gt;78&lt;/item&gt;&lt;item&gt;79&lt;/item&gt;&lt;item&gt;80&lt;/item&gt;&lt;item&gt;81&lt;/item&gt;&lt;item&gt;82&lt;/item&gt;&lt;/record-ids&gt;&lt;/item&gt;&lt;/Libraries&gt;"/>
  </w:docVars>
  <w:rsids>
    <w:rsidRoot w:val="00C85EAF"/>
    <w:rsid w:val="00061F2E"/>
    <w:rsid w:val="0008345B"/>
    <w:rsid w:val="000B694D"/>
    <w:rsid w:val="00114BE3"/>
    <w:rsid w:val="001A1D9D"/>
    <w:rsid w:val="001D00B4"/>
    <w:rsid w:val="00273735"/>
    <w:rsid w:val="002D388C"/>
    <w:rsid w:val="003439CE"/>
    <w:rsid w:val="003640F6"/>
    <w:rsid w:val="0038331C"/>
    <w:rsid w:val="0040624F"/>
    <w:rsid w:val="00440866"/>
    <w:rsid w:val="00470273"/>
    <w:rsid w:val="004E4EBD"/>
    <w:rsid w:val="00554D8C"/>
    <w:rsid w:val="00562B4F"/>
    <w:rsid w:val="006509D1"/>
    <w:rsid w:val="006C66B3"/>
    <w:rsid w:val="006D63AA"/>
    <w:rsid w:val="00707A92"/>
    <w:rsid w:val="00712B58"/>
    <w:rsid w:val="00735A26"/>
    <w:rsid w:val="0076C22A"/>
    <w:rsid w:val="007A092A"/>
    <w:rsid w:val="007E5459"/>
    <w:rsid w:val="008B08D6"/>
    <w:rsid w:val="008D309A"/>
    <w:rsid w:val="009024C2"/>
    <w:rsid w:val="00940788"/>
    <w:rsid w:val="009501A8"/>
    <w:rsid w:val="00964EBB"/>
    <w:rsid w:val="0098418C"/>
    <w:rsid w:val="009902EC"/>
    <w:rsid w:val="009A0AAA"/>
    <w:rsid w:val="00A25411"/>
    <w:rsid w:val="00A67AE0"/>
    <w:rsid w:val="00A92914"/>
    <w:rsid w:val="00AA2283"/>
    <w:rsid w:val="00AC3838"/>
    <w:rsid w:val="00AC4194"/>
    <w:rsid w:val="00BA5461"/>
    <w:rsid w:val="00BE146F"/>
    <w:rsid w:val="00C85EAF"/>
    <w:rsid w:val="00CD0EEF"/>
    <w:rsid w:val="00D1248D"/>
    <w:rsid w:val="00D76716"/>
    <w:rsid w:val="00DC784B"/>
    <w:rsid w:val="00DF8C28"/>
    <w:rsid w:val="00E00D0B"/>
    <w:rsid w:val="00E45257"/>
    <w:rsid w:val="00E96E16"/>
    <w:rsid w:val="00EA1BB8"/>
    <w:rsid w:val="00EB3E6C"/>
    <w:rsid w:val="00EE59A0"/>
    <w:rsid w:val="00EEDF73"/>
    <w:rsid w:val="00F16293"/>
    <w:rsid w:val="00F50187"/>
    <w:rsid w:val="012C736C"/>
    <w:rsid w:val="01A7ECE6"/>
    <w:rsid w:val="01AA51C5"/>
    <w:rsid w:val="02B86BA1"/>
    <w:rsid w:val="02D09768"/>
    <w:rsid w:val="02E48FB9"/>
    <w:rsid w:val="02FD0A11"/>
    <w:rsid w:val="03C9CEB1"/>
    <w:rsid w:val="042E9342"/>
    <w:rsid w:val="04EF54B6"/>
    <w:rsid w:val="04F4B6C1"/>
    <w:rsid w:val="052C8800"/>
    <w:rsid w:val="0551FD3D"/>
    <w:rsid w:val="0552ED8D"/>
    <w:rsid w:val="05598C0E"/>
    <w:rsid w:val="055B3012"/>
    <w:rsid w:val="056088AD"/>
    <w:rsid w:val="05DD66AA"/>
    <w:rsid w:val="06425380"/>
    <w:rsid w:val="064A7E91"/>
    <w:rsid w:val="065B1E93"/>
    <w:rsid w:val="06B39859"/>
    <w:rsid w:val="06D15848"/>
    <w:rsid w:val="06E2BEA0"/>
    <w:rsid w:val="072014D0"/>
    <w:rsid w:val="0799BB79"/>
    <w:rsid w:val="08326269"/>
    <w:rsid w:val="088F389F"/>
    <w:rsid w:val="08F26A5C"/>
    <w:rsid w:val="093118AB"/>
    <w:rsid w:val="09567D59"/>
    <w:rsid w:val="095DBA71"/>
    <w:rsid w:val="098F1501"/>
    <w:rsid w:val="09D201D6"/>
    <w:rsid w:val="09F39F26"/>
    <w:rsid w:val="09FC83A4"/>
    <w:rsid w:val="0A05BDD3"/>
    <w:rsid w:val="0A28DD26"/>
    <w:rsid w:val="0A81A5F0"/>
    <w:rsid w:val="0AE5A680"/>
    <w:rsid w:val="0B444389"/>
    <w:rsid w:val="0B47F13E"/>
    <w:rsid w:val="0BA3B45F"/>
    <w:rsid w:val="0BB2A657"/>
    <w:rsid w:val="0BBFBE94"/>
    <w:rsid w:val="0BC934D4"/>
    <w:rsid w:val="0BCAC5E6"/>
    <w:rsid w:val="0BE63075"/>
    <w:rsid w:val="0C82EFBC"/>
    <w:rsid w:val="0D1AFC88"/>
    <w:rsid w:val="0D3AD820"/>
    <w:rsid w:val="0DA5BC9A"/>
    <w:rsid w:val="0DDC1DEF"/>
    <w:rsid w:val="0E1069B4"/>
    <w:rsid w:val="0E2D71E8"/>
    <w:rsid w:val="0E3875FC"/>
    <w:rsid w:val="0E88A7E2"/>
    <w:rsid w:val="0E98C068"/>
    <w:rsid w:val="0EC5B310"/>
    <w:rsid w:val="0F035061"/>
    <w:rsid w:val="0F52D3FD"/>
    <w:rsid w:val="0F5936CC"/>
    <w:rsid w:val="10655DAD"/>
    <w:rsid w:val="106FE046"/>
    <w:rsid w:val="1073C6FE"/>
    <w:rsid w:val="107AA745"/>
    <w:rsid w:val="10E5F4F7"/>
    <w:rsid w:val="11196A2F"/>
    <w:rsid w:val="1148016F"/>
    <w:rsid w:val="114A24B9"/>
    <w:rsid w:val="114F06C4"/>
    <w:rsid w:val="116685F4"/>
    <w:rsid w:val="1171FAD4"/>
    <w:rsid w:val="122BF582"/>
    <w:rsid w:val="1256746A"/>
    <w:rsid w:val="1287854B"/>
    <w:rsid w:val="12B997C4"/>
    <w:rsid w:val="12D1A890"/>
    <w:rsid w:val="12E3AC05"/>
    <w:rsid w:val="12F28A8F"/>
    <w:rsid w:val="135DDD30"/>
    <w:rsid w:val="13897753"/>
    <w:rsid w:val="13A09014"/>
    <w:rsid w:val="13EFAA28"/>
    <w:rsid w:val="14F60345"/>
    <w:rsid w:val="150EEC9F"/>
    <w:rsid w:val="156F5D49"/>
    <w:rsid w:val="159BA521"/>
    <w:rsid w:val="15AE6326"/>
    <w:rsid w:val="15FB71AA"/>
    <w:rsid w:val="161000D3"/>
    <w:rsid w:val="16548D15"/>
    <w:rsid w:val="16684429"/>
    <w:rsid w:val="1677255F"/>
    <w:rsid w:val="168CA5C1"/>
    <w:rsid w:val="16DFD5FE"/>
    <w:rsid w:val="1715BDE1"/>
    <w:rsid w:val="171A9DCC"/>
    <w:rsid w:val="178D746C"/>
    <w:rsid w:val="1807B50B"/>
    <w:rsid w:val="18121311"/>
    <w:rsid w:val="182FE48B"/>
    <w:rsid w:val="1901878A"/>
    <w:rsid w:val="1923B3F1"/>
    <w:rsid w:val="19A69902"/>
    <w:rsid w:val="19C8ECFB"/>
    <w:rsid w:val="19CA0FAE"/>
    <w:rsid w:val="1A0303F4"/>
    <w:rsid w:val="1A36B242"/>
    <w:rsid w:val="1A623019"/>
    <w:rsid w:val="1A795E15"/>
    <w:rsid w:val="1B0E3472"/>
    <w:rsid w:val="1B13C78C"/>
    <w:rsid w:val="1B2A2664"/>
    <w:rsid w:val="1B35C1E4"/>
    <w:rsid w:val="1B908C4D"/>
    <w:rsid w:val="1BDD1800"/>
    <w:rsid w:val="1C29291B"/>
    <w:rsid w:val="1C2EE2BF"/>
    <w:rsid w:val="1C620373"/>
    <w:rsid w:val="1C72C69A"/>
    <w:rsid w:val="1CB88CD6"/>
    <w:rsid w:val="1CCB8A02"/>
    <w:rsid w:val="1D46AB52"/>
    <w:rsid w:val="1D51B9DD"/>
    <w:rsid w:val="1D6D77AB"/>
    <w:rsid w:val="1D7D0F27"/>
    <w:rsid w:val="1DD04432"/>
    <w:rsid w:val="1DD1A2D9"/>
    <w:rsid w:val="1E2EFAD7"/>
    <w:rsid w:val="1E4DE1C3"/>
    <w:rsid w:val="1E5A10BC"/>
    <w:rsid w:val="1E6EA6C9"/>
    <w:rsid w:val="1E837968"/>
    <w:rsid w:val="1EA31B76"/>
    <w:rsid w:val="1ED8749E"/>
    <w:rsid w:val="1EF0FBE1"/>
    <w:rsid w:val="1F411DF2"/>
    <w:rsid w:val="1F5843AF"/>
    <w:rsid w:val="1FBE53C9"/>
    <w:rsid w:val="1FCBFE84"/>
    <w:rsid w:val="215224F6"/>
    <w:rsid w:val="21B12613"/>
    <w:rsid w:val="21C5BBE9"/>
    <w:rsid w:val="21E83CBE"/>
    <w:rsid w:val="21EBCE54"/>
    <w:rsid w:val="220EBD02"/>
    <w:rsid w:val="2233714B"/>
    <w:rsid w:val="224EC6B7"/>
    <w:rsid w:val="2255FC4C"/>
    <w:rsid w:val="225AE9C7"/>
    <w:rsid w:val="2282CB36"/>
    <w:rsid w:val="22E0A0C9"/>
    <w:rsid w:val="231FD9A4"/>
    <w:rsid w:val="23503483"/>
    <w:rsid w:val="23AD63A3"/>
    <w:rsid w:val="2402B01A"/>
    <w:rsid w:val="2409F200"/>
    <w:rsid w:val="2492F671"/>
    <w:rsid w:val="24B7B11C"/>
    <w:rsid w:val="24FAE2DF"/>
    <w:rsid w:val="251B33D0"/>
    <w:rsid w:val="2531DEAD"/>
    <w:rsid w:val="255C1E20"/>
    <w:rsid w:val="2599087E"/>
    <w:rsid w:val="259AC7C7"/>
    <w:rsid w:val="25B48A1E"/>
    <w:rsid w:val="2667EFCD"/>
    <w:rsid w:val="26F1FA32"/>
    <w:rsid w:val="27210B54"/>
    <w:rsid w:val="272C1AAC"/>
    <w:rsid w:val="277E382D"/>
    <w:rsid w:val="27C339AD"/>
    <w:rsid w:val="280F834C"/>
    <w:rsid w:val="2873A77E"/>
    <w:rsid w:val="28A06AFB"/>
    <w:rsid w:val="28B56D73"/>
    <w:rsid w:val="28C52745"/>
    <w:rsid w:val="2908AAA2"/>
    <w:rsid w:val="295E9E67"/>
    <w:rsid w:val="2964892E"/>
    <w:rsid w:val="29BAEA67"/>
    <w:rsid w:val="29D813C7"/>
    <w:rsid w:val="2A8265D2"/>
    <w:rsid w:val="2A97A0B3"/>
    <w:rsid w:val="2ACE4821"/>
    <w:rsid w:val="2ADAEC48"/>
    <w:rsid w:val="2ADC7507"/>
    <w:rsid w:val="2B5AE41D"/>
    <w:rsid w:val="2B7054FE"/>
    <w:rsid w:val="2BE005C7"/>
    <w:rsid w:val="2BE7AD39"/>
    <w:rsid w:val="2BE7BDBF"/>
    <w:rsid w:val="2BEB955B"/>
    <w:rsid w:val="2C139696"/>
    <w:rsid w:val="2CAAA496"/>
    <w:rsid w:val="2D6EA43E"/>
    <w:rsid w:val="2DA2145B"/>
    <w:rsid w:val="2DA57453"/>
    <w:rsid w:val="2DAB08DB"/>
    <w:rsid w:val="2DEC0B61"/>
    <w:rsid w:val="2E1CBDA9"/>
    <w:rsid w:val="2E469E01"/>
    <w:rsid w:val="2EC5AA9D"/>
    <w:rsid w:val="2F28DE0C"/>
    <w:rsid w:val="2F93A927"/>
    <w:rsid w:val="30108C71"/>
    <w:rsid w:val="301253FB"/>
    <w:rsid w:val="3083C8FD"/>
    <w:rsid w:val="30984A70"/>
    <w:rsid w:val="30C1C729"/>
    <w:rsid w:val="30DD9051"/>
    <w:rsid w:val="30E5A98D"/>
    <w:rsid w:val="30F2C165"/>
    <w:rsid w:val="3161F3AE"/>
    <w:rsid w:val="31F545EA"/>
    <w:rsid w:val="3235D508"/>
    <w:rsid w:val="32442220"/>
    <w:rsid w:val="32B579BD"/>
    <w:rsid w:val="3303FF0B"/>
    <w:rsid w:val="3313CDDE"/>
    <w:rsid w:val="331F2CF3"/>
    <w:rsid w:val="33599BF8"/>
    <w:rsid w:val="3388C233"/>
    <w:rsid w:val="33BD194E"/>
    <w:rsid w:val="33FC20AE"/>
    <w:rsid w:val="34A0076F"/>
    <w:rsid w:val="34F26AD2"/>
    <w:rsid w:val="35922569"/>
    <w:rsid w:val="36236677"/>
    <w:rsid w:val="36480EBB"/>
    <w:rsid w:val="369D31A8"/>
    <w:rsid w:val="3732FB4E"/>
    <w:rsid w:val="37572C82"/>
    <w:rsid w:val="3773CAD0"/>
    <w:rsid w:val="37914BD5"/>
    <w:rsid w:val="37A2259D"/>
    <w:rsid w:val="37AB4952"/>
    <w:rsid w:val="37F503CF"/>
    <w:rsid w:val="38019BFB"/>
    <w:rsid w:val="3848AB82"/>
    <w:rsid w:val="38F75093"/>
    <w:rsid w:val="392BBFDD"/>
    <w:rsid w:val="393641A7"/>
    <w:rsid w:val="3A1B9813"/>
    <w:rsid w:val="3A4A8E0B"/>
    <w:rsid w:val="3AAE924B"/>
    <w:rsid w:val="3ADE5475"/>
    <w:rsid w:val="3AF11EA6"/>
    <w:rsid w:val="3B49DCA9"/>
    <w:rsid w:val="3B67BE73"/>
    <w:rsid w:val="3B7CBE57"/>
    <w:rsid w:val="3BBC8029"/>
    <w:rsid w:val="3BC973AA"/>
    <w:rsid w:val="3BCE758B"/>
    <w:rsid w:val="3BE54EED"/>
    <w:rsid w:val="3BF4092F"/>
    <w:rsid w:val="3C1BC81C"/>
    <w:rsid w:val="3C409604"/>
    <w:rsid w:val="3C4D2915"/>
    <w:rsid w:val="3C6151CC"/>
    <w:rsid w:val="3C89D1A3"/>
    <w:rsid w:val="3D13DE7D"/>
    <w:rsid w:val="3D8C6212"/>
    <w:rsid w:val="3E274CF3"/>
    <w:rsid w:val="3E5571C2"/>
    <w:rsid w:val="3EA52999"/>
    <w:rsid w:val="3EE866DA"/>
    <w:rsid w:val="3F14626E"/>
    <w:rsid w:val="3F181EE0"/>
    <w:rsid w:val="3FA70DD6"/>
    <w:rsid w:val="3FBE4AD8"/>
    <w:rsid w:val="4065F697"/>
    <w:rsid w:val="4067EF22"/>
    <w:rsid w:val="40701EDF"/>
    <w:rsid w:val="4198170B"/>
    <w:rsid w:val="41B9768D"/>
    <w:rsid w:val="41D11FF9"/>
    <w:rsid w:val="41F71523"/>
    <w:rsid w:val="4244F3E0"/>
    <w:rsid w:val="426AFC00"/>
    <w:rsid w:val="4290782E"/>
    <w:rsid w:val="42BDE854"/>
    <w:rsid w:val="4322CE51"/>
    <w:rsid w:val="43320915"/>
    <w:rsid w:val="43499222"/>
    <w:rsid w:val="438D6F1C"/>
    <w:rsid w:val="439925E2"/>
    <w:rsid w:val="43BD8E9A"/>
    <w:rsid w:val="43F07404"/>
    <w:rsid w:val="43F61B47"/>
    <w:rsid w:val="44141120"/>
    <w:rsid w:val="44D5FAAB"/>
    <w:rsid w:val="44E3C6FF"/>
    <w:rsid w:val="44E738BD"/>
    <w:rsid w:val="45AFD22F"/>
    <w:rsid w:val="467F1E3F"/>
    <w:rsid w:val="46880CB3"/>
    <w:rsid w:val="46C018F7"/>
    <w:rsid w:val="46CD1B69"/>
    <w:rsid w:val="4753C94C"/>
    <w:rsid w:val="47CC13BF"/>
    <w:rsid w:val="47DD9DCA"/>
    <w:rsid w:val="489CDBE3"/>
    <w:rsid w:val="48BF92D1"/>
    <w:rsid w:val="48D19CDD"/>
    <w:rsid w:val="491FD4D9"/>
    <w:rsid w:val="4936D57D"/>
    <w:rsid w:val="4951DB56"/>
    <w:rsid w:val="49651A3E"/>
    <w:rsid w:val="49BB0A05"/>
    <w:rsid w:val="49C7C78A"/>
    <w:rsid w:val="49E0B865"/>
    <w:rsid w:val="49FF4AD3"/>
    <w:rsid w:val="4A2D8CA5"/>
    <w:rsid w:val="4A3CB87E"/>
    <w:rsid w:val="4A42A206"/>
    <w:rsid w:val="4A7354B5"/>
    <w:rsid w:val="4AB6CD95"/>
    <w:rsid w:val="4AC5FC37"/>
    <w:rsid w:val="4AC7EE95"/>
    <w:rsid w:val="4AC7F2BA"/>
    <w:rsid w:val="4B1B76A1"/>
    <w:rsid w:val="4B818B02"/>
    <w:rsid w:val="4BC00563"/>
    <w:rsid w:val="4BC80D0C"/>
    <w:rsid w:val="4C32BA88"/>
    <w:rsid w:val="4C4CDB3F"/>
    <w:rsid w:val="4CD95943"/>
    <w:rsid w:val="4D9A4E8B"/>
    <w:rsid w:val="4DCA5F87"/>
    <w:rsid w:val="4DEF916D"/>
    <w:rsid w:val="4E1F7774"/>
    <w:rsid w:val="4E78AF7A"/>
    <w:rsid w:val="4EDF7D42"/>
    <w:rsid w:val="4EE3452D"/>
    <w:rsid w:val="4F2FA952"/>
    <w:rsid w:val="4FAC0214"/>
    <w:rsid w:val="4FDF3C05"/>
    <w:rsid w:val="4FF87BD8"/>
    <w:rsid w:val="502EC378"/>
    <w:rsid w:val="50400C64"/>
    <w:rsid w:val="504346A8"/>
    <w:rsid w:val="5050920D"/>
    <w:rsid w:val="50DC4C15"/>
    <w:rsid w:val="517452B5"/>
    <w:rsid w:val="51B32E4B"/>
    <w:rsid w:val="51E34BF8"/>
    <w:rsid w:val="522DB1D3"/>
    <w:rsid w:val="5245477E"/>
    <w:rsid w:val="52512262"/>
    <w:rsid w:val="52D65E1B"/>
    <w:rsid w:val="532323E6"/>
    <w:rsid w:val="53B6FA2C"/>
    <w:rsid w:val="54A2E59C"/>
    <w:rsid w:val="54B243FE"/>
    <w:rsid w:val="54BA9658"/>
    <w:rsid w:val="54D28CC9"/>
    <w:rsid w:val="54F6B59E"/>
    <w:rsid w:val="552031CF"/>
    <w:rsid w:val="5533FD91"/>
    <w:rsid w:val="555BCCD4"/>
    <w:rsid w:val="55C33DCC"/>
    <w:rsid w:val="55D71C6C"/>
    <w:rsid w:val="55D9D1B2"/>
    <w:rsid w:val="56A8CA25"/>
    <w:rsid w:val="56B31546"/>
    <w:rsid w:val="56D32C48"/>
    <w:rsid w:val="5713A4E0"/>
    <w:rsid w:val="57A684DE"/>
    <w:rsid w:val="57C01D46"/>
    <w:rsid w:val="582036FC"/>
    <w:rsid w:val="5858B217"/>
    <w:rsid w:val="586DD9B2"/>
    <w:rsid w:val="5903991A"/>
    <w:rsid w:val="5939A69A"/>
    <w:rsid w:val="59540B0F"/>
    <w:rsid w:val="5A34F6A1"/>
    <w:rsid w:val="5A45696E"/>
    <w:rsid w:val="5A53DA9A"/>
    <w:rsid w:val="5A7475D3"/>
    <w:rsid w:val="5AA37F88"/>
    <w:rsid w:val="5AF13E8D"/>
    <w:rsid w:val="5B7ED773"/>
    <w:rsid w:val="5BC75950"/>
    <w:rsid w:val="5BFAFD62"/>
    <w:rsid w:val="5C13F185"/>
    <w:rsid w:val="5C507D8D"/>
    <w:rsid w:val="5C6EC35D"/>
    <w:rsid w:val="5CD86F7F"/>
    <w:rsid w:val="5D5BA03C"/>
    <w:rsid w:val="5F0236C5"/>
    <w:rsid w:val="5F2B0B1C"/>
    <w:rsid w:val="5F5AC6EA"/>
    <w:rsid w:val="5FA1463A"/>
    <w:rsid w:val="5FB0DA57"/>
    <w:rsid w:val="5FCAF903"/>
    <w:rsid w:val="5FCECB93"/>
    <w:rsid w:val="60918CB1"/>
    <w:rsid w:val="60A4D3B8"/>
    <w:rsid w:val="60C1F5E7"/>
    <w:rsid w:val="60D7968A"/>
    <w:rsid w:val="616D5DCD"/>
    <w:rsid w:val="61BDFE19"/>
    <w:rsid w:val="623E8C0B"/>
    <w:rsid w:val="6276E0DC"/>
    <w:rsid w:val="627A4EAA"/>
    <w:rsid w:val="63A30A3F"/>
    <w:rsid w:val="63CE4426"/>
    <w:rsid w:val="63EEC541"/>
    <w:rsid w:val="642A40B0"/>
    <w:rsid w:val="645181D3"/>
    <w:rsid w:val="64801B27"/>
    <w:rsid w:val="64A1A9F9"/>
    <w:rsid w:val="64A57E2D"/>
    <w:rsid w:val="64C00B25"/>
    <w:rsid w:val="64C167F8"/>
    <w:rsid w:val="65302534"/>
    <w:rsid w:val="65F08121"/>
    <w:rsid w:val="66454433"/>
    <w:rsid w:val="666992AB"/>
    <w:rsid w:val="668DB26A"/>
    <w:rsid w:val="66A0DEE5"/>
    <w:rsid w:val="6723CF81"/>
    <w:rsid w:val="676A2094"/>
    <w:rsid w:val="6791CF2E"/>
    <w:rsid w:val="679EA81A"/>
    <w:rsid w:val="67C3B70C"/>
    <w:rsid w:val="683C5820"/>
    <w:rsid w:val="6849DC46"/>
    <w:rsid w:val="69564E5B"/>
    <w:rsid w:val="6961CF90"/>
    <w:rsid w:val="69A453E5"/>
    <w:rsid w:val="69D547AC"/>
    <w:rsid w:val="69D57712"/>
    <w:rsid w:val="6A2F2808"/>
    <w:rsid w:val="6A4AE91D"/>
    <w:rsid w:val="6A4D5A59"/>
    <w:rsid w:val="6A6AD7C0"/>
    <w:rsid w:val="6A6B4514"/>
    <w:rsid w:val="6A722B7E"/>
    <w:rsid w:val="6A8A9FFF"/>
    <w:rsid w:val="6A976DD5"/>
    <w:rsid w:val="6AA57B23"/>
    <w:rsid w:val="6ADBD137"/>
    <w:rsid w:val="6B0D969A"/>
    <w:rsid w:val="6B17EFF5"/>
    <w:rsid w:val="6B8C2152"/>
    <w:rsid w:val="6B99A66D"/>
    <w:rsid w:val="6BB1A5A4"/>
    <w:rsid w:val="6C1B9621"/>
    <w:rsid w:val="6C97C27B"/>
    <w:rsid w:val="6CBBF9A0"/>
    <w:rsid w:val="6D1D1A1C"/>
    <w:rsid w:val="6D2023D7"/>
    <w:rsid w:val="6D4F6B20"/>
    <w:rsid w:val="6D59C740"/>
    <w:rsid w:val="6DB11B7B"/>
    <w:rsid w:val="6DD833A2"/>
    <w:rsid w:val="6EE1C8CE"/>
    <w:rsid w:val="6EF246C7"/>
    <w:rsid w:val="6F2761CD"/>
    <w:rsid w:val="6F587E42"/>
    <w:rsid w:val="6F811157"/>
    <w:rsid w:val="6F888089"/>
    <w:rsid w:val="6F8F9B6E"/>
    <w:rsid w:val="6FA0D319"/>
    <w:rsid w:val="6FE0191D"/>
    <w:rsid w:val="6FF481BE"/>
    <w:rsid w:val="70293553"/>
    <w:rsid w:val="703E85C8"/>
    <w:rsid w:val="709B9088"/>
    <w:rsid w:val="70C63947"/>
    <w:rsid w:val="70DBBB29"/>
    <w:rsid w:val="710E75AF"/>
    <w:rsid w:val="71105B3D"/>
    <w:rsid w:val="7159AD6B"/>
    <w:rsid w:val="71CCF795"/>
    <w:rsid w:val="72261A2F"/>
    <w:rsid w:val="72429D7A"/>
    <w:rsid w:val="72801452"/>
    <w:rsid w:val="73330D2B"/>
    <w:rsid w:val="733922EF"/>
    <w:rsid w:val="737DCBD7"/>
    <w:rsid w:val="7385C1D7"/>
    <w:rsid w:val="73B32B42"/>
    <w:rsid w:val="73D878B0"/>
    <w:rsid w:val="746533FA"/>
    <w:rsid w:val="746F73A4"/>
    <w:rsid w:val="74B2D31F"/>
    <w:rsid w:val="74FE2942"/>
    <w:rsid w:val="750E6F85"/>
    <w:rsid w:val="75462C80"/>
    <w:rsid w:val="7550C6FD"/>
    <w:rsid w:val="75C253DD"/>
    <w:rsid w:val="7652E65E"/>
    <w:rsid w:val="766ADF7F"/>
    <w:rsid w:val="76CD8FBC"/>
    <w:rsid w:val="76D3C1CA"/>
    <w:rsid w:val="76DF7AE8"/>
    <w:rsid w:val="775A0501"/>
    <w:rsid w:val="778C21CE"/>
    <w:rsid w:val="77C54024"/>
    <w:rsid w:val="77E25561"/>
    <w:rsid w:val="784B8D98"/>
    <w:rsid w:val="78B3E44B"/>
    <w:rsid w:val="78C0CB8B"/>
    <w:rsid w:val="791D2808"/>
    <w:rsid w:val="792A3CBF"/>
    <w:rsid w:val="7934F6B4"/>
    <w:rsid w:val="79560F5A"/>
    <w:rsid w:val="79AB9F1B"/>
    <w:rsid w:val="7AF4C4B2"/>
    <w:rsid w:val="7B07D455"/>
    <w:rsid w:val="7B3ED14D"/>
    <w:rsid w:val="7BBC5F71"/>
    <w:rsid w:val="7C0F3084"/>
    <w:rsid w:val="7CC93CE0"/>
    <w:rsid w:val="7CCAF15C"/>
    <w:rsid w:val="7CD9C98D"/>
    <w:rsid w:val="7D5B4B27"/>
    <w:rsid w:val="7D623432"/>
    <w:rsid w:val="7E02B0CC"/>
    <w:rsid w:val="7E70594E"/>
    <w:rsid w:val="7F342245"/>
    <w:rsid w:val="7F4EFFD5"/>
    <w:rsid w:val="7F93037C"/>
    <w:rsid w:val="7FB0ACAE"/>
    <w:rsid w:val="7FDAE826"/>
    <w:rsid w:val="7FE1208E"/>
    <w:rsid w:val="7FEA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3268C"/>
  <w15:docId w15:val="{88E8CDF5-0C7E-4C91-8998-B33049D4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4BE3"/>
    <w:pPr>
      <w:ind w:left="720"/>
      <w:contextualSpacing/>
    </w:pPr>
  </w:style>
  <w:style w:type="paragraph" w:customStyle="1" w:styleId="EndNoteBibliographyTitle">
    <w:name w:val="EndNote Bibliography Title"/>
    <w:basedOn w:val="Normal"/>
    <w:link w:val="EndNoteBibliographyTitleChar"/>
    <w:rsid w:val="003439CE"/>
    <w:pPr>
      <w:jc w:val="center"/>
    </w:pPr>
    <w:rPr>
      <w:noProof/>
      <w:lang w:val="en-US"/>
    </w:rPr>
  </w:style>
  <w:style w:type="character" w:customStyle="1" w:styleId="EndNoteBibliographyTitleChar">
    <w:name w:val="EndNote Bibliography Title Char"/>
    <w:basedOn w:val="DefaultParagraphFont"/>
    <w:link w:val="EndNoteBibliographyTitle"/>
    <w:rsid w:val="003439CE"/>
    <w:rPr>
      <w:noProof/>
      <w:lang w:val="en-US"/>
    </w:rPr>
  </w:style>
  <w:style w:type="paragraph" w:customStyle="1" w:styleId="EndNoteBibliography">
    <w:name w:val="EndNote Bibliography"/>
    <w:basedOn w:val="Normal"/>
    <w:link w:val="EndNoteBibliographyChar"/>
    <w:rsid w:val="003439CE"/>
    <w:pPr>
      <w:spacing w:line="240" w:lineRule="auto"/>
    </w:pPr>
    <w:rPr>
      <w:noProof/>
      <w:lang w:val="en-US"/>
    </w:rPr>
  </w:style>
  <w:style w:type="character" w:customStyle="1" w:styleId="EndNoteBibliographyChar">
    <w:name w:val="EndNote Bibliography Char"/>
    <w:basedOn w:val="DefaultParagraphFont"/>
    <w:link w:val="EndNoteBibliography"/>
    <w:rsid w:val="003439CE"/>
    <w:rPr>
      <w:noProof/>
      <w:lang w:val="en-US"/>
    </w:rPr>
  </w:style>
  <w:style w:type="character" w:styleId="Hyperlink">
    <w:name w:val="Hyperlink"/>
    <w:basedOn w:val="DefaultParagraphFont"/>
    <w:uiPriority w:val="99"/>
    <w:unhideWhenUsed/>
    <w:rsid w:val="003439CE"/>
    <w:rPr>
      <w:color w:val="0000FF" w:themeColor="hyperlink"/>
      <w:u w:val="single"/>
    </w:rPr>
  </w:style>
  <w:style w:type="character" w:styleId="UnresolvedMention">
    <w:name w:val="Unresolved Mention"/>
    <w:basedOn w:val="DefaultParagraphFont"/>
    <w:uiPriority w:val="99"/>
    <w:semiHidden/>
    <w:unhideWhenUsed/>
    <w:rsid w:val="003439CE"/>
    <w:rPr>
      <w:color w:val="605E5C"/>
      <w:shd w:val="clear" w:color="auto" w:fill="E1DFDD"/>
    </w:rPr>
  </w:style>
  <w:style w:type="character" w:styleId="FollowedHyperlink">
    <w:name w:val="FollowedHyperlink"/>
    <w:basedOn w:val="DefaultParagraphFont"/>
    <w:uiPriority w:val="99"/>
    <w:semiHidden/>
    <w:unhideWhenUsed/>
    <w:rsid w:val="001D00B4"/>
    <w:rPr>
      <w:color w:val="800080" w:themeColor="followedHyperlink"/>
      <w:u w:val="single"/>
    </w:rPr>
  </w:style>
  <w:style w:type="paragraph" w:styleId="Caption">
    <w:name w:val="caption"/>
    <w:basedOn w:val="Normal"/>
    <w:next w:val="Normal"/>
    <w:uiPriority w:val="35"/>
    <w:unhideWhenUsed/>
    <w:qFormat/>
    <w:rsid w:val="006D63A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071297">
      <w:bodyDiv w:val="1"/>
      <w:marLeft w:val="0"/>
      <w:marRight w:val="0"/>
      <w:marTop w:val="0"/>
      <w:marBottom w:val="0"/>
      <w:divBdr>
        <w:top w:val="none" w:sz="0" w:space="0" w:color="auto"/>
        <w:left w:val="none" w:sz="0" w:space="0" w:color="auto"/>
        <w:bottom w:val="none" w:sz="0" w:space="0" w:color="auto"/>
        <w:right w:val="none" w:sz="0" w:space="0" w:color="auto"/>
      </w:divBdr>
    </w:div>
    <w:div w:id="627661047">
      <w:bodyDiv w:val="1"/>
      <w:marLeft w:val="0"/>
      <w:marRight w:val="0"/>
      <w:marTop w:val="0"/>
      <w:marBottom w:val="0"/>
      <w:divBdr>
        <w:top w:val="none" w:sz="0" w:space="0" w:color="auto"/>
        <w:left w:val="none" w:sz="0" w:space="0" w:color="auto"/>
        <w:bottom w:val="none" w:sz="0" w:space="0" w:color="auto"/>
        <w:right w:val="none" w:sz="0" w:space="0" w:color="auto"/>
      </w:divBdr>
    </w:div>
    <w:div w:id="921065562">
      <w:bodyDiv w:val="1"/>
      <w:marLeft w:val="0"/>
      <w:marRight w:val="0"/>
      <w:marTop w:val="0"/>
      <w:marBottom w:val="0"/>
      <w:divBdr>
        <w:top w:val="none" w:sz="0" w:space="0" w:color="auto"/>
        <w:left w:val="none" w:sz="0" w:space="0" w:color="auto"/>
        <w:bottom w:val="none" w:sz="0" w:space="0" w:color="auto"/>
        <w:right w:val="none" w:sz="0" w:space="0" w:color="auto"/>
      </w:divBdr>
    </w:div>
    <w:div w:id="935408972">
      <w:bodyDiv w:val="1"/>
      <w:marLeft w:val="0"/>
      <w:marRight w:val="0"/>
      <w:marTop w:val="0"/>
      <w:marBottom w:val="0"/>
      <w:divBdr>
        <w:top w:val="none" w:sz="0" w:space="0" w:color="auto"/>
        <w:left w:val="none" w:sz="0" w:space="0" w:color="auto"/>
        <w:bottom w:val="none" w:sz="0" w:space="0" w:color="auto"/>
        <w:right w:val="none" w:sz="0" w:space="0" w:color="auto"/>
      </w:divBdr>
    </w:div>
    <w:div w:id="1379472340">
      <w:bodyDiv w:val="1"/>
      <w:marLeft w:val="0"/>
      <w:marRight w:val="0"/>
      <w:marTop w:val="0"/>
      <w:marBottom w:val="0"/>
      <w:divBdr>
        <w:top w:val="none" w:sz="0" w:space="0" w:color="auto"/>
        <w:left w:val="none" w:sz="0" w:space="0" w:color="auto"/>
        <w:bottom w:val="none" w:sz="0" w:space="0" w:color="auto"/>
        <w:right w:val="none" w:sz="0" w:space="0" w:color="auto"/>
      </w:divBdr>
    </w:div>
    <w:div w:id="1537695918">
      <w:bodyDiv w:val="1"/>
      <w:marLeft w:val="0"/>
      <w:marRight w:val="0"/>
      <w:marTop w:val="0"/>
      <w:marBottom w:val="0"/>
      <w:divBdr>
        <w:top w:val="none" w:sz="0" w:space="0" w:color="auto"/>
        <w:left w:val="none" w:sz="0" w:space="0" w:color="auto"/>
        <w:bottom w:val="none" w:sz="0" w:space="0" w:color="auto"/>
        <w:right w:val="none" w:sz="0" w:space="0" w:color="auto"/>
      </w:divBdr>
    </w:div>
    <w:div w:id="1566792006">
      <w:bodyDiv w:val="1"/>
      <w:marLeft w:val="0"/>
      <w:marRight w:val="0"/>
      <w:marTop w:val="0"/>
      <w:marBottom w:val="0"/>
      <w:divBdr>
        <w:top w:val="none" w:sz="0" w:space="0" w:color="auto"/>
        <w:left w:val="none" w:sz="0" w:space="0" w:color="auto"/>
        <w:bottom w:val="none" w:sz="0" w:space="0" w:color="auto"/>
        <w:right w:val="none" w:sz="0" w:space="0" w:color="auto"/>
      </w:divBdr>
    </w:div>
    <w:div w:id="1727530096">
      <w:bodyDiv w:val="1"/>
      <w:marLeft w:val="0"/>
      <w:marRight w:val="0"/>
      <w:marTop w:val="0"/>
      <w:marBottom w:val="0"/>
      <w:divBdr>
        <w:top w:val="none" w:sz="0" w:space="0" w:color="auto"/>
        <w:left w:val="none" w:sz="0" w:space="0" w:color="auto"/>
        <w:bottom w:val="none" w:sz="0" w:space="0" w:color="auto"/>
        <w:right w:val="none" w:sz="0" w:space="0" w:color="auto"/>
      </w:divBdr>
    </w:div>
    <w:div w:id="1745645680">
      <w:bodyDiv w:val="1"/>
      <w:marLeft w:val="0"/>
      <w:marRight w:val="0"/>
      <w:marTop w:val="0"/>
      <w:marBottom w:val="0"/>
      <w:divBdr>
        <w:top w:val="none" w:sz="0" w:space="0" w:color="auto"/>
        <w:left w:val="none" w:sz="0" w:space="0" w:color="auto"/>
        <w:bottom w:val="none" w:sz="0" w:space="0" w:color="auto"/>
        <w:right w:val="none" w:sz="0" w:space="0" w:color="auto"/>
      </w:divBdr>
    </w:div>
    <w:div w:id="1926180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6/j.jbi.2014.04.006" TargetMode="External"/><Relationship Id="rId26" Type="http://schemas.openxmlformats.org/officeDocument/2006/relationships/hyperlink" Target="https://doi.org/10.1371/journal.pone.0266696" TargetMode="External"/><Relationship Id="rId39" Type="http://schemas.openxmlformats.org/officeDocument/2006/relationships/hyperlink" Target="https://doi.org/10.1097/PTS.0000000000000517" TargetMode="External"/><Relationship Id="rId21" Type="http://schemas.openxmlformats.org/officeDocument/2006/relationships/hyperlink" Target="https://kb.osu.edu/bitstreams/be498bff-e7e7-5fc8-a26a-7b746bd0377d/download" TargetMode="External"/><Relationship Id="rId34" Type="http://schemas.openxmlformats.org/officeDocument/2006/relationships/hyperlink" Target="https://doi.org/10.1161/circulationaha.115.015880" TargetMode="External"/><Relationship Id="rId42" Type="http://schemas.openxmlformats.org/officeDocument/2006/relationships/hyperlink" Target="https://doi.org/10.1561/1100000039" TargetMode="External"/><Relationship Id="rId47" Type="http://schemas.openxmlformats.org/officeDocument/2006/relationships/hyperlink" Target="https://psnet.ahrq.gov/perspective/role-undergraduate-nursing-education-patient-safety" TargetMode="External"/><Relationship Id="rId50" Type="http://schemas.openxmlformats.org/officeDocument/2006/relationships/hyperlink" Target="https://doi.org/10.55834/plj.8269100564"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7/pts.0b013e3182952644" TargetMode="External"/><Relationship Id="rId29" Type="http://schemas.openxmlformats.org/officeDocument/2006/relationships/hyperlink" Target="https://doi.org/10.1109/mcg.2016.59" TargetMode="External"/><Relationship Id="rId11" Type="http://schemas.openxmlformats.org/officeDocument/2006/relationships/image" Target="media/image4.png"/><Relationship Id="rId24" Type="http://schemas.openxmlformats.org/officeDocument/2006/relationships/hyperlink" Target="https://doi.org/10.1016/S1473-3099(20)30120-1" TargetMode="External"/><Relationship Id="rId32" Type="http://schemas.openxmlformats.org/officeDocument/2006/relationships/hyperlink" Target="https://doi.org/10.1093/infdis/145.6.875" TargetMode="External"/><Relationship Id="rId37" Type="http://schemas.openxmlformats.org/officeDocument/2006/relationships/hyperlink" Target="https://pubmed.ncbi.nlm.nih.gov/24940129/" TargetMode="External"/><Relationship Id="rId40" Type="http://schemas.openxmlformats.org/officeDocument/2006/relationships/hyperlink" Target="https://doi.org/10.1016/j.artmed.2008.07.017" TargetMode="External"/><Relationship Id="rId45" Type="http://schemas.openxmlformats.org/officeDocument/2006/relationships/hyperlink" Target="https://racmonitor.medlearn.com/psi-90-understanding-the-fulcrum-of-quality-and-safety-in-healthcare/"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doi.org/10.1111/1475-6773.12596" TargetMode="External"/><Relationship Id="rId31" Type="http://schemas.openxmlformats.org/officeDocument/2006/relationships/hyperlink" Target="https://doi.org/10.2147/RMHP.S454925" TargetMode="External"/><Relationship Id="rId44" Type="http://schemas.openxmlformats.org/officeDocument/2006/relationships/hyperlink" Target="https://doi.org/10.3390/jpm12020279" TargetMode="External"/><Relationship Id="rId52" Type="http://schemas.openxmlformats.org/officeDocument/2006/relationships/hyperlink" Target="https://doi.org/10.1111/1475-6773.139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7759/cureus.31355" TargetMode="External"/><Relationship Id="rId22" Type="http://schemas.openxmlformats.org/officeDocument/2006/relationships/hyperlink" Target="https://doi.org/10.3233/SHTI220113" TargetMode="External"/><Relationship Id="rId27" Type="http://schemas.openxmlformats.org/officeDocument/2006/relationships/hyperlink" Target="https://www.leapfroggroup.org/racial-ethnic-and-payer-disparities-adverse-safety-events-are-there-differences-across-leapfrog" TargetMode="External"/><Relationship Id="rId30" Type="http://schemas.openxmlformats.org/officeDocument/2006/relationships/hyperlink" Target="https://doi.org/10.1016/j.ijnurstu.2023.104601" TargetMode="External"/><Relationship Id="rId35" Type="http://schemas.openxmlformats.org/officeDocument/2006/relationships/hyperlink" Target="https://doi.org/10.2196/humanfactors.9328" TargetMode="External"/><Relationship Id="rId43" Type="http://schemas.openxmlformats.org/officeDocument/2006/relationships/hyperlink" Target="https://doi.org/10.1377/hlthaff.2014.0147" TargetMode="External"/><Relationship Id="rId48" Type="http://schemas.openxmlformats.org/officeDocument/2006/relationships/hyperlink" Target="https://pubmed.ncbi.nlm.nih.gov/18080621/" TargetMode="External"/><Relationship Id="rId8" Type="http://schemas.openxmlformats.org/officeDocument/2006/relationships/image" Target="media/image1.png"/><Relationship Id="rId51" Type="http://schemas.openxmlformats.org/officeDocument/2006/relationships/hyperlink" Target="https://doi.org/10.1136/amiajnl-2014-002955"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136/bmjopen-2021-060501" TargetMode="External"/><Relationship Id="rId25" Type="http://schemas.openxmlformats.org/officeDocument/2006/relationships/hyperlink" Target="https://doi.org/10.1111/1475-6773.13979" TargetMode="External"/><Relationship Id="rId33" Type="http://schemas.openxmlformats.org/officeDocument/2006/relationships/hyperlink" Target="https://doi.org/10.1377/hlthaff.2018.05064" TargetMode="External"/><Relationship Id="rId38" Type="http://schemas.openxmlformats.org/officeDocument/2006/relationships/hyperlink" Target="https://doi.org/10.1136/bmjhci-2021-100437" TargetMode="External"/><Relationship Id="rId46" Type="http://schemas.openxmlformats.org/officeDocument/2006/relationships/hyperlink" Target="https://doi.org/10.1089/big.2015.0059" TargetMode="External"/><Relationship Id="rId20" Type="http://schemas.openxmlformats.org/officeDocument/2006/relationships/hyperlink" Target="https://doi.org/10.2196/18599" TargetMode="External"/><Relationship Id="rId41" Type="http://schemas.openxmlformats.org/officeDocument/2006/relationships/hyperlink" Target="https://doi.org/10.1186/2047-2501-2-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97/phh.0000000000001292" TargetMode="External"/><Relationship Id="rId23" Type="http://schemas.openxmlformats.org/officeDocument/2006/relationships/hyperlink" Target="https://doi.org/10.1111/j.1553-2712.2001.tb01280.x" TargetMode="External"/><Relationship Id="rId28" Type="http://schemas.openxmlformats.org/officeDocument/2006/relationships/hyperlink" Target="https://doi.org/10.5455/aim.2015.23.317-321" TargetMode="External"/><Relationship Id="rId36" Type="http://schemas.openxmlformats.org/officeDocument/2006/relationships/hyperlink" Target="https://doi.org/10.1136/bmjopen-2021-052899" TargetMode="External"/><Relationship Id="rId49" Type="http://schemas.openxmlformats.org/officeDocument/2006/relationships/hyperlink" Target="https://doi.org/10.1055/s-0039-1697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71F1D-4D8E-4982-B4B3-7019642A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6903</Words>
  <Characters>39352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Kaustubh Dilip Pachpande</cp:lastModifiedBy>
  <cp:revision>4</cp:revision>
  <dcterms:created xsi:type="dcterms:W3CDTF">2025-04-19T21:32:00Z</dcterms:created>
  <dcterms:modified xsi:type="dcterms:W3CDTF">2025-04-22T23:15:00Z</dcterms:modified>
</cp:coreProperties>
</file>