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9DE5" w14:textId="77777777" w:rsidR="0097158D" w:rsidRPr="0097158D" w:rsidRDefault="0097158D" w:rsidP="0097158D">
      <w:pPr>
        <w:spacing w:after="120"/>
        <w:outlineLvl w:val="0"/>
        <w:rPr>
          <w:rFonts w:ascii="Poppins" w:eastAsia="Times New Roman" w:hAnsi="Poppins" w:cs="Poppins"/>
          <w:b/>
          <w:bCs/>
          <w:color w:val="1F1F1F"/>
          <w:kern w:val="36"/>
          <w:sz w:val="28"/>
          <w:szCs w:val="28"/>
          <w:lang w:eastAsia="en-GB"/>
          <w14:ligatures w14:val="none"/>
        </w:rPr>
      </w:pPr>
      <w:r w:rsidRPr="0097158D">
        <w:rPr>
          <w:rFonts w:ascii="Poppins" w:eastAsia="Times New Roman" w:hAnsi="Poppins" w:cs="Poppins"/>
          <w:b/>
          <w:bCs/>
          <w:color w:val="1F1F1F"/>
          <w:kern w:val="36"/>
          <w:sz w:val="28"/>
          <w:szCs w:val="28"/>
          <w:lang w:eastAsia="en-GB"/>
          <w14:ligatures w14:val="none"/>
        </w:rPr>
        <w:t>Angel One: The Financialization Engine</w:t>
      </w:r>
    </w:p>
    <w:p w14:paraId="143955C0" w14:textId="77777777" w:rsidR="0097158D" w:rsidRDefault="0097158D" w:rsidP="0097158D">
      <w:pPr>
        <w:spacing w:after="120"/>
        <w:outlineLvl w:val="2"/>
        <w:rPr>
          <w:rFonts w:ascii="Poppins" w:eastAsia="Times New Roman" w:hAnsi="Poppins" w:cs="Poppins"/>
          <w:b/>
          <w:bCs/>
          <w:color w:val="1F1F1F"/>
          <w:kern w:val="0"/>
          <w:sz w:val="28"/>
          <w:szCs w:val="28"/>
          <w:lang w:eastAsia="en-GB"/>
          <w14:ligatures w14:val="none"/>
        </w:rPr>
      </w:pPr>
      <w:r w:rsidRPr="0097158D">
        <w:rPr>
          <w:rFonts w:ascii="Poppins" w:eastAsia="Times New Roman" w:hAnsi="Poppins" w:cs="Poppins"/>
          <w:b/>
          <w:bCs/>
          <w:color w:val="1F1F1F"/>
          <w:kern w:val="0"/>
          <w:sz w:val="28"/>
          <w:szCs w:val="28"/>
          <w:lang w:eastAsia="en-GB"/>
          <w14:ligatures w14:val="none"/>
        </w:rPr>
        <w:t>Assessing the Liquidity Cost of India’s Equity Cult (2026–2030 Forecast)</w:t>
      </w:r>
    </w:p>
    <w:p w14:paraId="6F4F0AC6" w14:textId="77777777" w:rsidR="005D4AC9" w:rsidRDefault="005D4AC9" w:rsidP="0097158D">
      <w:pPr>
        <w:spacing w:after="120"/>
        <w:outlineLvl w:val="2"/>
        <w:rPr>
          <w:rFonts w:ascii="Poppins" w:eastAsia="Times New Roman" w:hAnsi="Poppins" w:cs="Poppins"/>
          <w:b/>
          <w:bCs/>
          <w:color w:val="1F1F1F"/>
          <w:kern w:val="0"/>
          <w:sz w:val="28"/>
          <w:szCs w:val="28"/>
          <w:lang w:eastAsia="en-GB"/>
          <w14:ligatures w14:val="none"/>
        </w:rPr>
      </w:pPr>
    </w:p>
    <w:p w14:paraId="02E792FC" w14:textId="77777777" w:rsidR="005D4AC9" w:rsidRPr="0097158D" w:rsidRDefault="005D4AC9" w:rsidP="005D4AC9">
      <w:pPr>
        <w:spacing w:after="120" w:line="360" w:lineRule="auto"/>
        <w:outlineLvl w:val="2"/>
        <w:rPr>
          <w:rFonts w:ascii="Poppins" w:eastAsia="Times New Roman" w:hAnsi="Poppins" w:cs="Poppins"/>
          <w:color w:val="1F1F1F"/>
          <w:kern w:val="0"/>
          <w:lang w:eastAsia="en-GB"/>
          <w14:ligatures w14:val="none"/>
        </w:rPr>
      </w:pPr>
    </w:p>
    <w:p w14:paraId="769B6E61" w14:textId="77777777" w:rsidR="0097158D" w:rsidRPr="0097158D" w:rsidRDefault="0097158D" w:rsidP="005D4AC9">
      <w:pPr>
        <w:spacing w:line="360" w:lineRule="auto"/>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bdr w:val="none" w:sz="0" w:space="0" w:color="auto" w:frame="1"/>
          <w:lang w:eastAsia="en-GB"/>
          <w14:ligatures w14:val="none"/>
        </w:rPr>
        <w:t>Author:</w:t>
      </w:r>
      <w:r w:rsidRPr="0097158D">
        <w:rPr>
          <w:rFonts w:ascii="Poppins" w:eastAsia="Times New Roman" w:hAnsi="Poppins" w:cs="Poppins"/>
          <w:color w:val="1F1F1F"/>
          <w:kern w:val="0"/>
          <w:sz w:val="22"/>
          <w:szCs w:val="22"/>
          <w:lang w:eastAsia="en-GB"/>
          <w14:ligatures w14:val="none"/>
        </w:rPr>
        <w:t xml:space="preserve"> Kaustubh Sardesai</w:t>
      </w:r>
    </w:p>
    <w:p w14:paraId="43E671F4" w14:textId="77777777" w:rsidR="0097158D" w:rsidRPr="005D4AC9" w:rsidRDefault="0097158D" w:rsidP="005D4AC9">
      <w:pPr>
        <w:spacing w:line="360" w:lineRule="auto"/>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bdr w:val="none" w:sz="0" w:space="0" w:color="auto" w:frame="1"/>
          <w:lang w:eastAsia="en-GB"/>
          <w14:ligatures w14:val="none"/>
        </w:rPr>
        <w:t>Date:</w:t>
      </w:r>
      <w:r w:rsidRPr="0097158D">
        <w:rPr>
          <w:rFonts w:ascii="Poppins" w:eastAsia="Times New Roman" w:hAnsi="Poppins" w:cs="Poppins"/>
          <w:color w:val="1F1F1F"/>
          <w:kern w:val="0"/>
          <w:sz w:val="22"/>
          <w:szCs w:val="22"/>
          <w:lang w:eastAsia="en-GB"/>
          <w14:ligatures w14:val="none"/>
        </w:rPr>
        <w:t xml:space="preserve"> February 2026</w:t>
      </w:r>
    </w:p>
    <w:p w14:paraId="01475C91" w14:textId="4558ABA9" w:rsidR="005D4AC9" w:rsidRPr="0097158D" w:rsidRDefault="005D4AC9" w:rsidP="005D4AC9">
      <w:pPr>
        <w:spacing w:line="360" w:lineRule="auto"/>
        <w:rPr>
          <w:rFonts w:ascii="Poppins" w:hAnsi="Poppins" w:cs="Poppins"/>
          <w:color w:val="374151"/>
          <w:sz w:val="22"/>
          <w:szCs w:val="22"/>
        </w:rPr>
      </w:pPr>
      <w:r w:rsidRPr="005D4AC9">
        <w:rPr>
          <w:rFonts w:ascii="Poppins" w:hAnsi="Poppins" w:cs="Poppins"/>
          <w:color w:val="374151"/>
          <w:sz w:val="22"/>
          <w:szCs w:val="22"/>
        </w:rPr>
        <w:t xml:space="preserve">Tools Used: SQL, Excel, Tableau </w:t>
      </w:r>
    </w:p>
    <w:p w14:paraId="7AAE7B13" w14:textId="77777777" w:rsidR="0097158D" w:rsidRPr="0097158D" w:rsidRDefault="0097158D" w:rsidP="005D4AC9">
      <w:pPr>
        <w:spacing w:line="360" w:lineRule="auto"/>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bdr w:val="none" w:sz="0" w:space="0" w:color="auto" w:frame="1"/>
          <w:lang w:eastAsia="en-GB"/>
          <w14:ligatures w14:val="none"/>
        </w:rPr>
        <w:t>Context:</w:t>
      </w:r>
      <w:r w:rsidRPr="0097158D">
        <w:rPr>
          <w:rFonts w:ascii="Poppins" w:eastAsia="Times New Roman" w:hAnsi="Poppins" w:cs="Poppins"/>
          <w:color w:val="1F1F1F"/>
          <w:kern w:val="0"/>
          <w:sz w:val="22"/>
          <w:szCs w:val="22"/>
          <w:lang w:eastAsia="en-GB"/>
          <w14:ligatures w14:val="none"/>
        </w:rPr>
        <w:t xml:space="preserve"> Self-Initiated Analytical Case Study</w:t>
      </w:r>
    </w:p>
    <w:p w14:paraId="4A1C518D"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077B8D75"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39AEEE04"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6D80D1EB"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26BDB31A"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6C83E209"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3DCF9347"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6152E854"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71D3E72B"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7A4D6618"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2A0BB23B"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19B86D91" w14:textId="77777777" w:rsidR="005D4AC9" w:rsidRDefault="005D4AC9" w:rsidP="0097158D">
      <w:pPr>
        <w:spacing w:after="120"/>
        <w:outlineLvl w:val="1"/>
        <w:rPr>
          <w:rFonts w:ascii="Poppins" w:eastAsia="Times New Roman" w:hAnsi="Poppins" w:cs="Poppins"/>
          <w:b/>
          <w:bCs/>
          <w:color w:val="1F1F1F"/>
          <w:kern w:val="36"/>
          <w:sz w:val="48"/>
          <w:szCs w:val="48"/>
          <w:lang w:eastAsia="en-GB"/>
          <w14:ligatures w14:val="none"/>
        </w:rPr>
      </w:pPr>
    </w:p>
    <w:p w14:paraId="659DB2BC" w14:textId="02388DC5" w:rsidR="0097158D" w:rsidRPr="0097158D" w:rsidRDefault="0097158D" w:rsidP="0097158D">
      <w:pPr>
        <w:spacing w:after="120"/>
        <w:outlineLvl w:val="1"/>
        <w:rPr>
          <w:rFonts w:ascii="Poppins" w:eastAsia="Times New Roman" w:hAnsi="Poppins" w:cs="Poppins"/>
          <w:b/>
          <w:bCs/>
          <w:color w:val="1F1F1F"/>
          <w:kern w:val="0"/>
          <w:sz w:val="26"/>
          <w:szCs w:val="26"/>
          <w:lang w:eastAsia="en-GB"/>
          <w14:ligatures w14:val="none"/>
        </w:rPr>
      </w:pPr>
      <w:r w:rsidRPr="0097158D">
        <w:rPr>
          <w:rFonts w:ascii="Poppins" w:eastAsia="Times New Roman" w:hAnsi="Poppins" w:cs="Poppins"/>
          <w:b/>
          <w:bCs/>
          <w:color w:val="1F1F1F"/>
          <w:kern w:val="0"/>
          <w:sz w:val="26"/>
          <w:szCs w:val="26"/>
          <w:lang w:eastAsia="en-GB"/>
          <w14:ligatures w14:val="none"/>
        </w:rPr>
        <w:t>Executive Summary</w:t>
      </w:r>
    </w:p>
    <w:p w14:paraId="6DDEB8D3" w14:textId="77777777" w:rsidR="0097158D" w:rsidRPr="0097158D" w:rsidRDefault="0097158D" w:rsidP="0097158D">
      <w:pPr>
        <w:spacing w:after="240"/>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lang w:eastAsia="en-GB"/>
          <w14:ligatures w14:val="none"/>
        </w:rPr>
        <w:t>India is currently witnessing a structural "Financialization of Savings," where household capital is aggressively rotating from physical assets (gold, real estate) to financial assets. Angel One (NSE: ANGELONE) serves as a primary infrastructure proxy for this secular trend. This analysis evaluates whether the company's accounting profitability translates into sustainable operating liquidity.</w:t>
      </w:r>
    </w:p>
    <w:p w14:paraId="14657163" w14:textId="77777777" w:rsidR="0097158D" w:rsidRDefault="0097158D" w:rsidP="0097158D">
      <w:pPr>
        <w:spacing w:after="240"/>
        <w:rPr>
          <w:rFonts w:ascii="Poppins" w:eastAsia="Times New Roman" w:hAnsi="Poppins" w:cs="Poppins"/>
          <w:color w:val="1F1F1F"/>
          <w:kern w:val="0"/>
          <w:sz w:val="22"/>
          <w:szCs w:val="22"/>
          <w:lang w:eastAsia="en-GB"/>
          <w14:ligatures w14:val="none"/>
        </w:rPr>
      </w:pPr>
      <w:proofErr w:type="spellStart"/>
      <w:r w:rsidRPr="0097158D">
        <w:rPr>
          <w:rFonts w:ascii="Poppins" w:eastAsia="Times New Roman" w:hAnsi="Poppins" w:cs="Poppins"/>
          <w:color w:val="1F1F1F"/>
          <w:kern w:val="0"/>
          <w:sz w:val="22"/>
          <w:szCs w:val="22"/>
          <w:lang w:eastAsia="en-GB"/>
          <w14:ligatures w14:val="none"/>
        </w:rPr>
        <w:t>Modeling</w:t>
      </w:r>
      <w:proofErr w:type="spellEnd"/>
      <w:r w:rsidRPr="0097158D">
        <w:rPr>
          <w:rFonts w:ascii="Poppins" w:eastAsia="Times New Roman" w:hAnsi="Poppins" w:cs="Poppins"/>
          <w:color w:val="1F1F1F"/>
          <w:kern w:val="0"/>
          <w:sz w:val="22"/>
          <w:szCs w:val="22"/>
          <w:lang w:eastAsia="en-GB"/>
          <w14:ligatures w14:val="none"/>
        </w:rPr>
        <w:t xml:space="preserve"> historical performance (FY16–FY25) and projecting forward to FY30 reveals a critical divergence: while Angel One is projected to double its revenue base to ₹10,538 Cr by 2030, the capital intensity of funding its client base results in persistent negative Operating Cash Flow (OCF). The firm effectively "consumes" cash to generate growth. The analysis suggests that while the P&amp;L remains robust, the "Quality of Earnings" is strained by working capital demands, necessitating a valuation framework that accounts for this liquidity premium.</w:t>
      </w:r>
    </w:p>
    <w:p w14:paraId="349401A3" w14:textId="77777777" w:rsidR="00641AE1" w:rsidRPr="0097158D" w:rsidRDefault="00641AE1" w:rsidP="0097158D">
      <w:pPr>
        <w:spacing w:after="240"/>
        <w:rPr>
          <w:rFonts w:ascii="Poppins" w:eastAsia="Times New Roman" w:hAnsi="Poppins" w:cs="Poppins"/>
          <w:color w:val="1F1F1F"/>
          <w:kern w:val="0"/>
          <w:sz w:val="26"/>
          <w:szCs w:val="26"/>
          <w:lang w:eastAsia="en-GB"/>
          <w14:ligatures w14:val="none"/>
        </w:rPr>
      </w:pPr>
    </w:p>
    <w:p w14:paraId="12BBAAAD" w14:textId="234FE774" w:rsidR="0097158D" w:rsidRPr="0097158D" w:rsidRDefault="0097158D" w:rsidP="0097158D">
      <w:pPr>
        <w:spacing w:after="120"/>
        <w:outlineLvl w:val="1"/>
        <w:rPr>
          <w:rFonts w:ascii="Poppins" w:eastAsia="Times New Roman" w:hAnsi="Poppins" w:cs="Poppins"/>
          <w:b/>
          <w:bCs/>
          <w:color w:val="1F1F1F"/>
          <w:kern w:val="0"/>
          <w:sz w:val="26"/>
          <w:szCs w:val="26"/>
          <w:lang w:eastAsia="en-GB"/>
          <w14:ligatures w14:val="none"/>
        </w:rPr>
      </w:pPr>
      <w:r w:rsidRPr="0097158D">
        <w:rPr>
          <w:rFonts w:ascii="Poppins" w:eastAsia="Times New Roman" w:hAnsi="Poppins" w:cs="Poppins"/>
          <w:b/>
          <w:bCs/>
          <w:color w:val="1F1F1F"/>
          <w:kern w:val="0"/>
          <w:sz w:val="26"/>
          <w:szCs w:val="26"/>
          <w:lang w:eastAsia="en-GB"/>
          <w14:ligatures w14:val="none"/>
        </w:rPr>
        <w:t>Context &amp; Business Question</w:t>
      </w:r>
    </w:p>
    <w:p w14:paraId="448F5BCE" w14:textId="77777777" w:rsidR="0097158D" w:rsidRPr="0097158D" w:rsidRDefault="0097158D" w:rsidP="0097158D">
      <w:p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The Macro Theme: Financialization</w:t>
      </w:r>
    </w:p>
    <w:p w14:paraId="4AC1C713" w14:textId="77777777" w:rsidR="0097158D" w:rsidRPr="0097158D" w:rsidRDefault="0097158D" w:rsidP="0097158D">
      <w:pPr>
        <w:spacing w:after="240"/>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lang w:eastAsia="en-GB"/>
          <w14:ligatures w14:val="none"/>
        </w:rPr>
        <w:t>The Indian equity cult is expanding exponentially. As new retail investors enter the market, brokerage firms experience non-linear revenue growth. However, this growth is capital-intensive, often requiring brokers to fund client margin requirements from their own balance sheets.</w:t>
      </w:r>
    </w:p>
    <w:p w14:paraId="06FF0A8F" w14:textId="77777777" w:rsidR="0097158D" w:rsidRPr="0097158D" w:rsidRDefault="0097158D" w:rsidP="0097158D">
      <w:p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The Analytical Question</w:t>
      </w:r>
    </w:p>
    <w:p w14:paraId="0144BD96" w14:textId="7FADF5AB" w:rsidR="0097158D" w:rsidRPr="0097158D" w:rsidRDefault="0097158D" w:rsidP="0097158D">
      <w:p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i/>
          <w:iCs/>
          <w:color w:val="1F1F1F"/>
          <w:kern w:val="0"/>
          <w:sz w:val="22"/>
          <w:szCs w:val="22"/>
          <w:bdr w:val="none" w:sz="0" w:space="0" w:color="auto" w:frame="1"/>
          <w:lang w:eastAsia="en-GB"/>
          <w14:ligatures w14:val="none"/>
        </w:rPr>
        <w:t xml:space="preserve">Does Angel One’s </w:t>
      </w:r>
      <w:r w:rsidR="00641AE1" w:rsidRPr="0097158D">
        <w:rPr>
          <w:rFonts w:ascii="Poppins" w:eastAsia="Times New Roman" w:hAnsi="Poppins" w:cs="Poppins"/>
          <w:i/>
          <w:iCs/>
          <w:color w:val="1F1F1F"/>
          <w:kern w:val="0"/>
          <w:sz w:val="22"/>
          <w:szCs w:val="22"/>
          <w:bdr w:val="none" w:sz="0" w:space="0" w:color="auto" w:frame="1"/>
          <w:lang w:eastAsia="en-GB"/>
          <w14:ligatures w14:val="none"/>
        </w:rPr>
        <w:t>Reported</w:t>
      </w:r>
      <w:r w:rsidRPr="0097158D">
        <w:rPr>
          <w:rFonts w:ascii="Poppins" w:eastAsia="Times New Roman" w:hAnsi="Poppins" w:cs="Poppins"/>
          <w:i/>
          <w:iCs/>
          <w:color w:val="1F1F1F"/>
          <w:kern w:val="0"/>
          <w:sz w:val="22"/>
          <w:szCs w:val="22"/>
          <w:bdr w:val="none" w:sz="0" w:space="0" w:color="auto" w:frame="1"/>
          <w:lang w:eastAsia="en-GB"/>
          <w14:ligatures w14:val="none"/>
        </w:rPr>
        <w:t xml:space="preserve"> Net Profit accurately reflect its economic reality, or does the cost of funding the "Financialization" wave create a structural liquidity drag?</w:t>
      </w:r>
    </w:p>
    <w:p w14:paraId="4529C85B" w14:textId="77777777" w:rsidR="0097158D" w:rsidRDefault="0097158D" w:rsidP="0097158D">
      <w:pPr>
        <w:spacing w:after="240"/>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color w:val="1F1F1F"/>
          <w:kern w:val="0"/>
          <w:sz w:val="22"/>
          <w:szCs w:val="22"/>
          <w:lang w:eastAsia="en-GB"/>
          <w14:ligatures w14:val="none"/>
        </w:rPr>
        <w:t>This report isolates core operating trends from working capital volatility to forecast the company’s financial health through 2030, applying conservative constraints to stress-test the business model.</w:t>
      </w:r>
    </w:p>
    <w:p w14:paraId="2E6E66D9" w14:textId="77777777" w:rsidR="00641AE1" w:rsidRDefault="00641AE1" w:rsidP="0097158D">
      <w:pPr>
        <w:spacing w:after="240"/>
        <w:rPr>
          <w:rFonts w:ascii="Poppins" w:eastAsia="Times New Roman" w:hAnsi="Poppins" w:cs="Poppins"/>
          <w:color w:val="1F1F1F"/>
          <w:kern w:val="0"/>
          <w:sz w:val="22"/>
          <w:szCs w:val="22"/>
          <w:lang w:eastAsia="en-GB"/>
          <w14:ligatures w14:val="none"/>
        </w:rPr>
      </w:pPr>
    </w:p>
    <w:p w14:paraId="41E8E9D4" w14:textId="77777777" w:rsidR="00641AE1" w:rsidRDefault="00641AE1" w:rsidP="0097158D">
      <w:pPr>
        <w:spacing w:after="240"/>
        <w:rPr>
          <w:rFonts w:ascii="Poppins" w:eastAsia="Times New Roman" w:hAnsi="Poppins" w:cs="Poppins"/>
          <w:color w:val="1F1F1F"/>
          <w:kern w:val="0"/>
          <w:sz w:val="22"/>
          <w:szCs w:val="22"/>
          <w:lang w:eastAsia="en-GB"/>
          <w14:ligatures w14:val="none"/>
        </w:rPr>
      </w:pPr>
    </w:p>
    <w:p w14:paraId="223FB6D0" w14:textId="77777777" w:rsidR="00641AE1" w:rsidRDefault="00641AE1" w:rsidP="0097158D">
      <w:pPr>
        <w:spacing w:after="240"/>
        <w:rPr>
          <w:rFonts w:ascii="Poppins" w:eastAsia="Times New Roman" w:hAnsi="Poppins" w:cs="Poppins"/>
          <w:color w:val="1F1F1F"/>
          <w:kern w:val="0"/>
          <w:sz w:val="22"/>
          <w:szCs w:val="22"/>
          <w:lang w:eastAsia="en-GB"/>
          <w14:ligatures w14:val="none"/>
        </w:rPr>
      </w:pPr>
    </w:p>
    <w:p w14:paraId="38AC6A11" w14:textId="77777777" w:rsidR="00641AE1" w:rsidRPr="0097158D" w:rsidRDefault="00641AE1" w:rsidP="0097158D">
      <w:pPr>
        <w:spacing w:after="240"/>
        <w:rPr>
          <w:rFonts w:ascii="Poppins" w:eastAsia="Times New Roman" w:hAnsi="Poppins" w:cs="Poppins"/>
          <w:color w:val="1F1F1F"/>
          <w:kern w:val="0"/>
          <w:sz w:val="22"/>
          <w:szCs w:val="22"/>
          <w:lang w:eastAsia="en-GB"/>
          <w14:ligatures w14:val="none"/>
        </w:rPr>
      </w:pPr>
    </w:p>
    <w:p w14:paraId="6EF832FC" w14:textId="28D782B6" w:rsidR="0097158D" w:rsidRPr="0097158D" w:rsidRDefault="0097158D" w:rsidP="0097158D">
      <w:pPr>
        <w:spacing w:after="120"/>
        <w:outlineLvl w:val="1"/>
        <w:rPr>
          <w:rFonts w:ascii="Poppins" w:eastAsia="Times New Roman" w:hAnsi="Poppins" w:cs="Poppins"/>
          <w:b/>
          <w:bCs/>
          <w:color w:val="1F1F1F"/>
          <w:kern w:val="0"/>
          <w:sz w:val="26"/>
          <w:szCs w:val="26"/>
          <w:lang w:eastAsia="en-GB"/>
          <w14:ligatures w14:val="none"/>
        </w:rPr>
      </w:pPr>
      <w:r w:rsidRPr="0097158D">
        <w:rPr>
          <w:rFonts w:ascii="Poppins" w:eastAsia="Times New Roman" w:hAnsi="Poppins" w:cs="Poppins"/>
          <w:b/>
          <w:bCs/>
          <w:color w:val="1F1F1F"/>
          <w:kern w:val="0"/>
          <w:sz w:val="26"/>
          <w:szCs w:val="26"/>
          <w:lang w:eastAsia="en-GB"/>
          <w14:ligatures w14:val="none"/>
        </w:rPr>
        <w:lastRenderedPageBreak/>
        <w:t>Data &amp; Methodology</w:t>
      </w:r>
    </w:p>
    <w:p w14:paraId="42C8D061" w14:textId="77777777" w:rsidR="0097158D" w:rsidRPr="0097158D" w:rsidRDefault="0097158D" w:rsidP="0097158D">
      <w:p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Data Strategy</w:t>
      </w:r>
    </w:p>
    <w:p w14:paraId="2CEEE332" w14:textId="77777777" w:rsidR="0097158D" w:rsidRPr="0097158D" w:rsidRDefault="0097158D" w:rsidP="0097158D">
      <w:pPr>
        <w:numPr>
          <w:ilvl w:val="0"/>
          <w:numId w:val="1"/>
        </w:num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Source:</w:t>
      </w:r>
      <w:r w:rsidRPr="0097158D">
        <w:rPr>
          <w:rFonts w:ascii="Poppins" w:eastAsia="Times New Roman" w:hAnsi="Poppins" w:cs="Poppins"/>
          <w:color w:val="1F1F1F"/>
          <w:kern w:val="0"/>
          <w:sz w:val="22"/>
          <w:szCs w:val="22"/>
          <w:lang w:eastAsia="en-GB"/>
          <w14:ligatures w14:val="none"/>
        </w:rPr>
        <w:t xml:space="preserve"> Audited Annual Reports (FY2016–FY2025) via Screener.in.</w:t>
      </w:r>
    </w:p>
    <w:p w14:paraId="638EB35A" w14:textId="77777777" w:rsidR="0097158D" w:rsidRPr="0097158D" w:rsidRDefault="0097158D" w:rsidP="0097158D">
      <w:pPr>
        <w:numPr>
          <w:ilvl w:val="0"/>
          <w:numId w:val="1"/>
        </w:num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Transformation:</w:t>
      </w:r>
      <w:r w:rsidRPr="0097158D">
        <w:rPr>
          <w:rFonts w:ascii="Poppins" w:eastAsia="Times New Roman" w:hAnsi="Poppins" w:cs="Poppins"/>
          <w:color w:val="1F1F1F"/>
          <w:kern w:val="0"/>
          <w:sz w:val="22"/>
          <w:szCs w:val="22"/>
          <w:lang w:eastAsia="en-GB"/>
          <w14:ligatures w14:val="none"/>
        </w:rPr>
        <w:t xml:space="preserve"> Unstructured data was normalized into a SQL relational database (</w:t>
      </w:r>
      <w:proofErr w:type="spellStart"/>
      <w:r w:rsidRPr="0097158D">
        <w:rPr>
          <w:rFonts w:ascii="Poppins" w:eastAsia="Times New Roman" w:hAnsi="Poppins" w:cs="Poppins"/>
          <w:color w:val="444746"/>
          <w:kern w:val="0"/>
          <w:sz w:val="22"/>
          <w:szCs w:val="22"/>
          <w:bdr w:val="none" w:sz="0" w:space="0" w:color="auto" w:frame="1"/>
          <w:lang w:eastAsia="en-GB"/>
          <w14:ligatures w14:val="none"/>
        </w:rPr>
        <w:t>angel_one_financials</w:t>
      </w:r>
      <w:proofErr w:type="spellEnd"/>
      <w:r w:rsidRPr="0097158D">
        <w:rPr>
          <w:rFonts w:ascii="Poppins" w:eastAsia="Times New Roman" w:hAnsi="Poppins" w:cs="Poppins"/>
          <w:color w:val="1F1F1F"/>
          <w:kern w:val="0"/>
          <w:sz w:val="22"/>
          <w:szCs w:val="22"/>
          <w:lang w:eastAsia="en-GB"/>
          <w14:ligatures w14:val="none"/>
        </w:rPr>
        <w:t>).</w:t>
      </w:r>
    </w:p>
    <w:p w14:paraId="74837AC1" w14:textId="77777777" w:rsidR="0097158D" w:rsidRPr="0097158D" w:rsidRDefault="0097158D" w:rsidP="0097158D">
      <w:pPr>
        <w:numPr>
          <w:ilvl w:val="0"/>
          <w:numId w:val="1"/>
        </w:num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Tools:</w:t>
      </w:r>
      <w:r w:rsidRPr="0097158D">
        <w:rPr>
          <w:rFonts w:ascii="Poppins" w:eastAsia="Times New Roman" w:hAnsi="Poppins" w:cs="Poppins"/>
          <w:color w:val="1F1F1F"/>
          <w:kern w:val="0"/>
          <w:sz w:val="22"/>
          <w:szCs w:val="22"/>
          <w:lang w:eastAsia="en-GB"/>
          <w14:ligatures w14:val="none"/>
        </w:rPr>
        <w:t xml:space="preserve"> SQL (MySQL) for window functions and recursive forecasting; Tableau for visual exploration.</w:t>
      </w:r>
    </w:p>
    <w:p w14:paraId="73093000" w14:textId="77777777" w:rsidR="0097158D" w:rsidRPr="0097158D" w:rsidRDefault="0097158D" w:rsidP="0097158D">
      <w:pPr>
        <w:rPr>
          <w:rFonts w:ascii="Poppins" w:eastAsia="Times New Roman" w:hAnsi="Poppins" w:cs="Poppins"/>
          <w:color w:val="1F1F1F"/>
          <w:kern w:val="0"/>
          <w:sz w:val="22"/>
          <w:szCs w:val="22"/>
          <w:lang w:eastAsia="en-GB"/>
          <w14:ligatures w14:val="none"/>
        </w:rPr>
      </w:pPr>
      <w:proofErr w:type="spellStart"/>
      <w:r w:rsidRPr="0097158D">
        <w:rPr>
          <w:rFonts w:ascii="Poppins" w:eastAsia="Times New Roman" w:hAnsi="Poppins" w:cs="Poppins"/>
          <w:b/>
          <w:bCs/>
          <w:color w:val="1F1F1F"/>
          <w:kern w:val="0"/>
          <w:sz w:val="22"/>
          <w:szCs w:val="22"/>
          <w:bdr w:val="none" w:sz="0" w:space="0" w:color="auto" w:frame="1"/>
          <w:lang w:eastAsia="en-GB"/>
          <w14:ligatures w14:val="none"/>
        </w:rPr>
        <w:t>Modeling</w:t>
      </w:r>
      <w:proofErr w:type="spellEnd"/>
      <w:r w:rsidRPr="0097158D">
        <w:rPr>
          <w:rFonts w:ascii="Poppins" w:eastAsia="Times New Roman" w:hAnsi="Poppins" w:cs="Poppins"/>
          <w:b/>
          <w:bCs/>
          <w:color w:val="1F1F1F"/>
          <w:kern w:val="0"/>
          <w:sz w:val="22"/>
          <w:szCs w:val="22"/>
          <w:bdr w:val="none" w:sz="0" w:space="0" w:color="auto" w:frame="1"/>
          <w:lang w:eastAsia="en-GB"/>
          <w14:ligatures w14:val="none"/>
        </w:rPr>
        <w:t xml:space="preserve"> Logic (The "Conservative" Approach)</w:t>
      </w:r>
    </w:p>
    <w:p w14:paraId="428373CD" w14:textId="77777777" w:rsidR="0097158D" w:rsidRPr="0097158D" w:rsidRDefault="0097158D" w:rsidP="0097158D">
      <w:pPr>
        <w:numPr>
          <w:ilvl w:val="0"/>
          <w:numId w:val="2"/>
        </w:num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Growth Cap (15%):</w:t>
      </w:r>
      <w:r w:rsidRPr="0097158D">
        <w:rPr>
          <w:rFonts w:ascii="Poppins" w:eastAsia="Times New Roman" w:hAnsi="Poppins" w:cs="Poppins"/>
          <w:color w:val="1F1F1F"/>
          <w:kern w:val="0"/>
          <w:sz w:val="22"/>
          <w:szCs w:val="22"/>
          <w:lang w:eastAsia="en-GB"/>
          <w14:ligatures w14:val="none"/>
        </w:rPr>
        <w:t xml:space="preserve"> Despite historical growth exceeding 20% (e.g., 22.6% in FY25), a strategic cap of 15% was applied to FY26–30 projections to adhere to the Law of Large Numbers and account for regulatory saturation.</w:t>
      </w:r>
    </w:p>
    <w:p w14:paraId="47FE466E" w14:textId="77777777" w:rsidR="0097158D" w:rsidRDefault="0097158D" w:rsidP="0097158D">
      <w:pPr>
        <w:numPr>
          <w:ilvl w:val="0"/>
          <w:numId w:val="2"/>
        </w:numPr>
        <w:rPr>
          <w:rFonts w:ascii="Poppins" w:eastAsia="Times New Roman" w:hAnsi="Poppins" w:cs="Poppins"/>
          <w:color w:val="1F1F1F"/>
          <w:kern w:val="0"/>
          <w:sz w:val="22"/>
          <w:szCs w:val="22"/>
          <w:lang w:eastAsia="en-GB"/>
          <w14:ligatures w14:val="none"/>
        </w:rPr>
      </w:pPr>
      <w:r w:rsidRPr="0097158D">
        <w:rPr>
          <w:rFonts w:ascii="Poppins" w:eastAsia="Times New Roman" w:hAnsi="Poppins" w:cs="Poppins"/>
          <w:b/>
          <w:bCs/>
          <w:color w:val="1F1F1F"/>
          <w:kern w:val="0"/>
          <w:sz w:val="22"/>
          <w:szCs w:val="22"/>
          <w:bdr w:val="none" w:sz="0" w:space="0" w:color="auto" w:frame="1"/>
          <w:lang w:eastAsia="en-GB"/>
          <w14:ligatures w14:val="none"/>
        </w:rPr>
        <w:t>Cash Flow Margin (-12.6%):</w:t>
      </w:r>
      <w:r w:rsidRPr="0097158D">
        <w:rPr>
          <w:rFonts w:ascii="Poppins" w:eastAsia="Times New Roman" w:hAnsi="Poppins" w:cs="Poppins"/>
          <w:color w:val="1F1F1F"/>
          <w:kern w:val="0"/>
          <w:sz w:val="22"/>
          <w:szCs w:val="22"/>
          <w:lang w:eastAsia="en-GB"/>
          <w14:ligatures w14:val="none"/>
        </w:rPr>
        <w:t xml:space="preserve"> Future liquidity is </w:t>
      </w:r>
      <w:proofErr w:type="spellStart"/>
      <w:r w:rsidRPr="0097158D">
        <w:rPr>
          <w:rFonts w:ascii="Poppins" w:eastAsia="Times New Roman" w:hAnsi="Poppins" w:cs="Poppins"/>
          <w:color w:val="1F1F1F"/>
          <w:kern w:val="0"/>
          <w:sz w:val="22"/>
          <w:szCs w:val="22"/>
          <w:lang w:eastAsia="en-GB"/>
          <w14:ligatures w14:val="none"/>
        </w:rPr>
        <w:t>modeled</w:t>
      </w:r>
      <w:proofErr w:type="spellEnd"/>
      <w:r w:rsidRPr="0097158D">
        <w:rPr>
          <w:rFonts w:ascii="Poppins" w:eastAsia="Times New Roman" w:hAnsi="Poppins" w:cs="Poppins"/>
          <w:color w:val="1F1F1F"/>
          <w:kern w:val="0"/>
          <w:sz w:val="22"/>
          <w:szCs w:val="22"/>
          <w:lang w:eastAsia="en-GB"/>
          <w14:ligatures w14:val="none"/>
        </w:rPr>
        <w:t xml:space="preserve"> on a 5-year weighted average of OCF margins rather than volatile annual figures, acknowledging the structural cash burn inherent in the current business mix.</w:t>
      </w:r>
    </w:p>
    <w:p w14:paraId="6A95BD6E" w14:textId="77777777" w:rsidR="00641AE1" w:rsidRDefault="00641AE1" w:rsidP="00641AE1">
      <w:pPr>
        <w:rPr>
          <w:rFonts w:ascii="Poppins" w:eastAsia="Times New Roman" w:hAnsi="Poppins" w:cs="Poppins"/>
          <w:color w:val="1F1F1F"/>
          <w:kern w:val="0"/>
          <w:sz w:val="22"/>
          <w:szCs w:val="22"/>
          <w:lang w:eastAsia="en-GB"/>
          <w14:ligatures w14:val="none"/>
        </w:rPr>
      </w:pPr>
    </w:p>
    <w:p w14:paraId="113AD13D" w14:textId="77777777" w:rsidR="00641AE1" w:rsidRPr="0097158D" w:rsidRDefault="00641AE1" w:rsidP="00641AE1">
      <w:pPr>
        <w:rPr>
          <w:rFonts w:ascii="Poppins" w:eastAsia="Times New Roman" w:hAnsi="Poppins" w:cs="Poppins"/>
          <w:color w:val="1F1F1F"/>
          <w:kern w:val="0"/>
          <w:sz w:val="22"/>
          <w:szCs w:val="22"/>
          <w:lang w:eastAsia="en-GB"/>
          <w14:ligatures w14:val="none"/>
        </w:rPr>
      </w:pPr>
    </w:p>
    <w:p w14:paraId="00E0C454" w14:textId="3281E041" w:rsidR="0097158D" w:rsidRPr="0097158D" w:rsidRDefault="0097158D" w:rsidP="0097158D">
      <w:pPr>
        <w:spacing w:after="120"/>
        <w:outlineLvl w:val="1"/>
        <w:rPr>
          <w:rFonts w:ascii="Poppins" w:eastAsia="Times New Roman" w:hAnsi="Poppins" w:cs="Poppins"/>
          <w:b/>
          <w:bCs/>
          <w:color w:val="1F1F1F"/>
          <w:kern w:val="0"/>
          <w:sz w:val="26"/>
          <w:szCs w:val="26"/>
          <w:lang w:eastAsia="en-GB"/>
          <w14:ligatures w14:val="none"/>
        </w:rPr>
      </w:pPr>
      <w:r w:rsidRPr="0097158D">
        <w:rPr>
          <w:rFonts w:ascii="Poppins" w:eastAsia="Times New Roman" w:hAnsi="Poppins" w:cs="Poppins"/>
          <w:b/>
          <w:bCs/>
          <w:color w:val="1F1F1F"/>
          <w:kern w:val="0"/>
          <w:sz w:val="26"/>
          <w:szCs w:val="26"/>
          <w:lang w:eastAsia="en-GB"/>
          <w14:ligatures w14:val="none"/>
        </w:rPr>
        <w:t>Key Insights</w:t>
      </w:r>
    </w:p>
    <w:p w14:paraId="49D8803D"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I. Accounting Profit Has Decoupled from Operating Liquidity</w:t>
      </w:r>
    </w:p>
    <w:p w14:paraId="11BC8712"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A severe divergence exists between reported Net Profit (PAT) and Operating Cash Flow (OCF). In FY25, Angel One reported a record Net Profit of ₹1,172.08 Cr, yet Operating Cash Flow plummeted to -₹1,859.84 Cr. This inverse correlation indicates that profitability is largely "on paper," with actual cash being redeployed immediately into margin funding to sustain client activity. The business currently consumes capital to grow, rather than generating free cash flow for distribution.</w:t>
      </w:r>
    </w:p>
    <w:p w14:paraId="0896737E"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II. Working Capital Intensity Negates "Scale Benefits"</w:t>
      </w:r>
    </w:p>
    <w:p w14:paraId="0ED953DC"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 xml:space="preserve">One would expect operating leverage to improve cash generation as the firm scales. However, the data contradicts this. As Revenue scaled 7x from FY20 (₹747 Cr) to FY25 (₹5,239 Cr), the Cash Conversion Ratio deteriorated significantly, dropping to -1.59 in FY25. This suggests the variable cost of funding the loan book grows linearly (or </w:t>
      </w:r>
      <w:proofErr w:type="spellStart"/>
      <w:r w:rsidRPr="0097158D">
        <w:rPr>
          <w:rFonts w:ascii="Poppins" w:eastAsia="Times New Roman" w:hAnsi="Poppins" w:cs="Poppins"/>
          <w:color w:val="1F1F1F"/>
          <w:kern w:val="0"/>
          <w:lang w:eastAsia="en-GB"/>
          <w14:ligatures w14:val="none"/>
        </w:rPr>
        <w:t>supralinearly</w:t>
      </w:r>
      <w:proofErr w:type="spellEnd"/>
      <w:r w:rsidRPr="0097158D">
        <w:rPr>
          <w:rFonts w:ascii="Poppins" w:eastAsia="Times New Roman" w:hAnsi="Poppins" w:cs="Poppins"/>
          <w:color w:val="1F1F1F"/>
          <w:kern w:val="0"/>
          <w:lang w:eastAsia="en-GB"/>
          <w14:ligatures w14:val="none"/>
        </w:rPr>
        <w:t>) with revenue, preventing the emergence of true economies of scale in cash generation.</w:t>
      </w:r>
    </w:p>
    <w:p w14:paraId="4272E368"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III. Conservative Forecasting Predicts Revenue Doubling by FY30</w:t>
      </w:r>
    </w:p>
    <w:p w14:paraId="4C8AE75E"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 xml:space="preserve">Applying a strict 15% CAGR cap to avoid recency bias, Angel One is projected to cross the ₹10,000 Cr revenue milestone by FY30 (Projected: </w:t>
      </w:r>
      <w:r w:rsidRPr="0097158D">
        <w:rPr>
          <w:rFonts w:ascii="Poppins" w:eastAsia="Times New Roman" w:hAnsi="Poppins" w:cs="Poppins"/>
          <w:color w:val="1F1F1F"/>
          <w:kern w:val="0"/>
          <w:lang w:eastAsia="en-GB"/>
          <w14:ligatures w14:val="none"/>
        </w:rPr>
        <w:lastRenderedPageBreak/>
        <w:t>₹10,537 Cr). Even with this conservative constraint—substantially lower than the 42% growth seen in FY24—the "Financialization" tailwind provides a high floor for top-line expansion. The firm is mathematically positioned to double its size in 5 years solely by capturing organic market drift.</w:t>
      </w:r>
    </w:p>
    <w:p w14:paraId="07DAF225"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IV. The "Liquidity Hole" Cumulates to ₹5,100 Cr (FY26-30)</w:t>
      </w:r>
    </w:p>
    <w:p w14:paraId="7588259E"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Based on the 5-year weighted average OCF margin of -12.6%, the model forecasts a cumulative Operating Cash Flow deficit of roughly ₹5,115 Cr over the next five years. To sustain the projected 15% growth rate, the company will likely need to continue raising external debt or diluting equity to plug this liquidity gap, as internal accruals are insufficient to fund the expanding margin book.</w:t>
      </w:r>
    </w:p>
    <w:p w14:paraId="031816BD" w14:textId="77777777" w:rsidR="0097158D" w:rsidRPr="0097158D" w:rsidRDefault="0097158D" w:rsidP="0097158D">
      <w:pPr>
        <w:spacing w:after="120"/>
        <w:outlineLvl w:val="1"/>
        <w:rPr>
          <w:rFonts w:ascii="Poppins" w:eastAsia="Times New Roman" w:hAnsi="Poppins" w:cs="Poppins"/>
          <w:b/>
          <w:bCs/>
          <w:color w:val="1F1F1F"/>
          <w:kern w:val="0"/>
          <w:sz w:val="36"/>
          <w:szCs w:val="36"/>
          <w:lang w:eastAsia="en-GB"/>
          <w14:ligatures w14:val="none"/>
        </w:rPr>
      </w:pPr>
      <w:r w:rsidRPr="0097158D">
        <w:rPr>
          <w:rFonts w:ascii="Poppins" w:eastAsia="Times New Roman" w:hAnsi="Poppins" w:cs="Poppins"/>
          <w:b/>
          <w:bCs/>
          <w:color w:val="1F1F1F"/>
          <w:kern w:val="0"/>
          <w:sz w:val="36"/>
          <w:szCs w:val="36"/>
          <w:lang w:eastAsia="en-GB"/>
          <w14:ligatures w14:val="none"/>
        </w:rPr>
        <w:t>5. Analysis &amp; Deep Dives</w:t>
      </w:r>
    </w:p>
    <w:p w14:paraId="4E2CF932"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5.1 The Profit-Cash Divergence (Historical Context)</w:t>
      </w:r>
    </w:p>
    <w:p w14:paraId="2E60D746" w14:textId="77777777" w:rsidR="0097158D" w:rsidRPr="0097158D" w:rsidRDefault="0097158D" w:rsidP="0097158D">
      <w:pPr>
        <w:rPr>
          <w:rFonts w:ascii="Poppins" w:eastAsia="Times New Roman" w:hAnsi="Poppins" w:cs="Poppins"/>
          <w:color w:val="1F1F1F"/>
          <w:kern w:val="0"/>
          <w:lang w:eastAsia="en-GB"/>
          <w14:ligatures w14:val="none"/>
        </w:rPr>
      </w:pPr>
      <w:r w:rsidRPr="0097158D">
        <w:rPr>
          <w:rFonts w:ascii="Poppins" w:eastAsia="Times New Roman" w:hAnsi="Poppins" w:cs="Poppins"/>
          <w:i/>
          <w:iCs/>
          <w:color w:val="1F1F1F"/>
          <w:kern w:val="0"/>
          <w:bdr w:val="none" w:sz="0" w:space="0" w:color="auto" w:frame="1"/>
          <w:lang w:eastAsia="en-GB"/>
          <w14:ligatures w14:val="none"/>
        </w:rPr>
        <w:t>Add viz "Profit vs. Cash Reality" here</w:t>
      </w:r>
    </w:p>
    <w:p w14:paraId="542F5652"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[PLACEHOLDER FOR PNG: Comparison of Net Profit vs. Operating Cash Flow (2016-2025)]</w:t>
      </w:r>
    </w:p>
    <w:p w14:paraId="370F62FA"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 xml:space="preserve">The visualization above isolates the core friction in the business model. While the Blue bars (Profit) show a consistent upward trend, the </w:t>
      </w:r>
      <w:proofErr w:type="gramStart"/>
      <w:r w:rsidRPr="0097158D">
        <w:rPr>
          <w:rFonts w:ascii="Poppins" w:eastAsia="Times New Roman" w:hAnsi="Poppins" w:cs="Poppins"/>
          <w:color w:val="1F1F1F"/>
          <w:kern w:val="0"/>
          <w:lang w:eastAsia="en-GB"/>
          <w14:ligatures w14:val="none"/>
        </w:rPr>
        <w:t>Orange</w:t>
      </w:r>
      <w:proofErr w:type="gramEnd"/>
      <w:r w:rsidRPr="0097158D">
        <w:rPr>
          <w:rFonts w:ascii="Poppins" w:eastAsia="Times New Roman" w:hAnsi="Poppins" w:cs="Poppins"/>
          <w:color w:val="1F1F1F"/>
          <w:kern w:val="0"/>
          <w:lang w:eastAsia="en-GB"/>
          <w14:ligatures w14:val="none"/>
        </w:rPr>
        <w:t xml:space="preserve"> line (Cash Flow) exhibits violent swings, dipping deeply negative in high-growth years (FY21, FY25). This confirms that "growth phases" are cash-consumptive periods for Angel One.</w:t>
      </w:r>
    </w:p>
    <w:p w14:paraId="6454ECD5" w14:textId="77777777" w:rsidR="0097158D" w:rsidRPr="0097158D" w:rsidRDefault="0097158D" w:rsidP="0097158D">
      <w:pPr>
        <w:spacing w:after="120"/>
        <w:outlineLvl w:val="2"/>
        <w:rPr>
          <w:rFonts w:ascii="Poppins" w:eastAsia="Times New Roman" w:hAnsi="Poppins" w:cs="Poppins"/>
          <w:b/>
          <w:bCs/>
          <w:color w:val="1F1F1F"/>
          <w:kern w:val="0"/>
          <w:sz w:val="27"/>
          <w:szCs w:val="27"/>
          <w:lang w:eastAsia="en-GB"/>
          <w14:ligatures w14:val="none"/>
        </w:rPr>
      </w:pPr>
      <w:r w:rsidRPr="0097158D">
        <w:rPr>
          <w:rFonts w:ascii="Poppins" w:eastAsia="Times New Roman" w:hAnsi="Poppins" w:cs="Poppins"/>
          <w:b/>
          <w:bCs/>
          <w:color w:val="1F1F1F"/>
          <w:kern w:val="0"/>
          <w:sz w:val="27"/>
          <w:szCs w:val="27"/>
          <w:lang w:eastAsia="en-GB"/>
          <w14:ligatures w14:val="none"/>
        </w:rPr>
        <w:t>5.2 Strategic Projections (2026–2030)</w:t>
      </w:r>
    </w:p>
    <w:p w14:paraId="290E8351" w14:textId="77777777" w:rsidR="0097158D" w:rsidRPr="0097158D" w:rsidRDefault="0097158D" w:rsidP="0097158D">
      <w:pPr>
        <w:rPr>
          <w:rFonts w:ascii="Poppins" w:eastAsia="Times New Roman" w:hAnsi="Poppins" w:cs="Poppins"/>
          <w:color w:val="1F1F1F"/>
          <w:kern w:val="0"/>
          <w:lang w:eastAsia="en-GB"/>
          <w14:ligatures w14:val="none"/>
        </w:rPr>
      </w:pPr>
      <w:r w:rsidRPr="0097158D">
        <w:rPr>
          <w:rFonts w:ascii="Poppins" w:eastAsia="Times New Roman" w:hAnsi="Poppins" w:cs="Poppins"/>
          <w:i/>
          <w:iCs/>
          <w:color w:val="1F1F1F"/>
          <w:kern w:val="0"/>
          <w:bdr w:val="none" w:sz="0" w:space="0" w:color="auto" w:frame="1"/>
          <w:lang w:eastAsia="en-GB"/>
          <w14:ligatures w14:val="none"/>
        </w:rPr>
        <w:t>Add viz "Projected Revenue vs. Cash Flow Gap" here</w:t>
      </w:r>
    </w:p>
    <w:p w14:paraId="2CD08F65"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[PLACEHOLDER FOR PNG: Forecasted Revenue vs. Projected OCF Deficit]</w:t>
      </w:r>
    </w:p>
    <w:p w14:paraId="5819EEC8"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The forecast model (above) visualizes the consequence of the 15% growth assumption. While the top line expands predictably, the red bars indicate a persistent cash drag. This serves as a warning to stakeholders: do not conflate Revenue growth with Solvency. The "Financialization" of the economy requires massive liquidity lubrication, which Angel One must provide.</w:t>
      </w:r>
    </w:p>
    <w:p w14:paraId="75EA475E" w14:textId="77777777" w:rsidR="0097158D" w:rsidRPr="0097158D" w:rsidRDefault="0097158D" w:rsidP="0097158D">
      <w:pPr>
        <w:spacing w:after="120"/>
        <w:outlineLvl w:val="1"/>
        <w:rPr>
          <w:rFonts w:ascii="Poppins" w:eastAsia="Times New Roman" w:hAnsi="Poppins" w:cs="Poppins"/>
          <w:b/>
          <w:bCs/>
          <w:color w:val="1F1F1F"/>
          <w:kern w:val="0"/>
          <w:sz w:val="36"/>
          <w:szCs w:val="36"/>
          <w:lang w:eastAsia="en-GB"/>
          <w14:ligatures w14:val="none"/>
        </w:rPr>
      </w:pPr>
      <w:r w:rsidRPr="0097158D">
        <w:rPr>
          <w:rFonts w:ascii="Poppins" w:eastAsia="Times New Roman" w:hAnsi="Poppins" w:cs="Poppins"/>
          <w:b/>
          <w:bCs/>
          <w:color w:val="1F1F1F"/>
          <w:kern w:val="0"/>
          <w:sz w:val="36"/>
          <w:szCs w:val="36"/>
          <w:lang w:eastAsia="en-GB"/>
          <w14:ligatures w14:val="none"/>
        </w:rPr>
        <w:t>6. Recommendations / Implications</w:t>
      </w:r>
    </w:p>
    <w:p w14:paraId="37C0E3C0" w14:textId="77777777" w:rsidR="0097158D" w:rsidRPr="0097158D" w:rsidRDefault="0097158D" w:rsidP="0097158D">
      <w:p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lastRenderedPageBreak/>
        <w:t>For Valuation &amp; Investment Strategy:</w:t>
      </w:r>
    </w:p>
    <w:p w14:paraId="7DEE074D" w14:textId="77777777" w:rsidR="0097158D" w:rsidRPr="0097158D" w:rsidRDefault="0097158D" w:rsidP="0097158D">
      <w:pPr>
        <w:numPr>
          <w:ilvl w:val="0"/>
          <w:numId w:val="3"/>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Discounted Cash Flow (DCF) Adjustment:</w:t>
      </w:r>
      <w:r w:rsidRPr="0097158D">
        <w:rPr>
          <w:rFonts w:ascii="Poppins" w:eastAsia="Times New Roman" w:hAnsi="Poppins" w:cs="Poppins"/>
          <w:color w:val="1F1F1F"/>
          <w:kern w:val="0"/>
          <w:lang w:eastAsia="en-GB"/>
          <w14:ligatures w14:val="none"/>
        </w:rPr>
        <w:t xml:space="preserve"> Traditional DCF models will fail due to negative OCF. Investors should utilize a </w:t>
      </w:r>
      <w:r w:rsidRPr="0097158D">
        <w:rPr>
          <w:rFonts w:ascii="Poppins" w:eastAsia="Times New Roman" w:hAnsi="Poppins" w:cs="Poppins"/>
          <w:b/>
          <w:bCs/>
          <w:color w:val="1F1F1F"/>
          <w:kern w:val="0"/>
          <w:bdr w:val="none" w:sz="0" w:space="0" w:color="auto" w:frame="1"/>
          <w:lang w:eastAsia="en-GB"/>
          <w14:ligatures w14:val="none"/>
        </w:rPr>
        <w:t>Residual Income Model</w:t>
      </w:r>
      <w:r w:rsidRPr="0097158D">
        <w:rPr>
          <w:rFonts w:ascii="Poppins" w:eastAsia="Times New Roman" w:hAnsi="Poppins" w:cs="Poppins"/>
          <w:color w:val="1F1F1F"/>
          <w:kern w:val="0"/>
          <w:lang w:eastAsia="en-GB"/>
          <w14:ligatures w14:val="none"/>
        </w:rPr>
        <w:t xml:space="preserve"> or </w:t>
      </w:r>
      <w:r w:rsidRPr="0097158D">
        <w:rPr>
          <w:rFonts w:ascii="Poppins" w:eastAsia="Times New Roman" w:hAnsi="Poppins" w:cs="Poppins"/>
          <w:b/>
          <w:bCs/>
          <w:color w:val="1F1F1F"/>
          <w:kern w:val="0"/>
          <w:bdr w:val="none" w:sz="0" w:space="0" w:color="auto" w:frame="1"/>
          <w:lang w:eastAsia="en-GB"/>
          <w14:ligatures w14:val="none"/>
        </w:rPr>
        <w:t>Price-to-Book</w:t>
      </w:r>
      <w:r w:rsidRPr="0097158D">
        <w:rPr>
          <w:rFonts w:ascii="Poppins" w:eastAsia="Times New Roman" w:hAnsi="Poppins" w:cs="Poppins"/>
          <w:color w:val="1F1F1F"/>
          <w:kern w:val="0"/>
          <w:lang w:eastAsia="en-GB"/>
          <w14:ligatures w14:val="none"/>
        </w:rPr>
        <w:t xml:space="preserve"> valuation, as the balance sheet is the primary driver of value, not the cash flow statement.</w:t>
      </w:r>
    </w:p>
    <w:p w14:paraId="2F9B0AE9" w14:textId="77777777" w:rsidR="0097158D" w:rsidRPr="0097158D" w:rsidRDefault="0097158D" w:rsidP="0097158D">
      <w:pPr>
        <w:numPr>
          <w:ilvl w:val="0"/>
          <w:numId w:val="3"/>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Risk Premium:</w:t>
      </w:r>
      <w:r w:rsidRPr="0097158D">
        <w:rPr>
          <w:rFonts w:ascii="Poppins" w:eastAsia="Times New Roman" w:hAnsi="Poppins" w:cs="Poppins"/>
          <w:color w:val="1F1F1F"/>
          <w:kern w:val="0"/>
          <w:lang w:eastAsia="en-GB"/>
          <w14:ligatures w14:val="none"/>
        </w:rPr>
        <w:t xml:space="preserve"> Assign a higher cost of equity to account for the "Cash Conversion Risk." The inability to convert profits to cash restricts dividend payout potential.</w:t>
      </w:r>
    </w:p>
    <w:p w14:paraId="69FE62BC" w14:textId="77777777" w:rsidR="0097158D" w:rsidRPr="0097158D" w:rsidRDefault="0097158D" w:rsidP="0097158D">
      <w:p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For Corporate Strategy:</w:t>
      </w:r>
    </w:p>
    <w:p w14:paraId="5F1EBB2F" w14:textId="77777777" w:rsidR="0097158D" w:rsidRPr="0097158D" w:rsidRDefault="0097158D" w:rsidP="0097158D">
      <w:pPr>
        <w:numPr>
          <w:ilvl w:val="0"/>
          <w:numId w:val="4"/>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Diversify Revenue Mix:</w:t>
      </w:r>
      <w:r w:rsidRPr="0097158D">
        <w:rPr>
          <w:rFonts w:ascii="Poppins" w:eastAsia="Times New Roman" w:hAnsi="Poppins" w:cs="Poppins"/>
          <w:color w:val="1F1F1F"/>
          <w:kern w:val="0"/>
          <w:lang w:eastAsia="en-GB"/>
          <w14:ligatures w14:val="none"/>
        </w:rPr>
        <w:t xml:space="preserve"> Aggressively scale non-lending revenue streams (Distribution of Mutual Funds, Insurance) which have a 100% Cash Conversion Cycle, to offset the capital intensity of the broking business.</w:t>
      </w:r>
    </w:p>
    <w:p w14:paraId="38FFE1B3" w14:textId="77777777" w:rsidR="0097158D" w:rsidRPr="0097158D" w:rsidRDefault="0097158D" w:rsidP="0097158D">
      <w:pPr>
        <w:spacing w:after="120"/>
        <w:outlineLvl w:val="1"/>
        <w:rPr>
          <w:rFonts w:ascii="Poppins" w:eastAsia="Times New Roman" w:hAnsi="Poppins" w:cs="Poppins"/>
          <w:b/>
          <w:bCs/>
          <w:color w:val="1F1F1F"/>
          <w:kern w:val="0"/>
          <w:sz w:val="36"/>
          <w:szCs w:val="36"/>
          <w:lang w:eastAsia="en-GB"/>
          <w14:ligatures w14:val="none"/>
        </w:rPr>
      </w:pPr>
      <w:r w:rsidRPr="0097158D">
        <w:rPr>
          <w:rFonts w:ascii="Poppins" w:eastAsia="Times New Roman" w:hAnsi="Poppins" w:cs="Poppins"/>
          <w:b/>
          <w:bCs/>
          <w:color w:val="1F1F1F"/>
          <w:kern w:val="0"/>
          <w:sz w:val="36"/>
          <w:szCs w:val="36"/>
          <w:lang w:eastAsia="en-GB"/>
          <w14:ligatures w14:val="none"/>
        </w:rPr>
        <w:t>7. Limitations &amp; Assumptions</w:t>
      </w:r>
    </w:p>
    <w:p w14:paraId="4B8271E2" w14:textId="77777777" w:rsidR="0097158D" w:rsidRPr="0097158D" w:rsidRDefault="0097158D" w:rsidP="0097158D">
      <w:pPr>
        <w:numPr>
          <w:ilvl w:val="0"/>
          <w:numId w:val="5"/>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Regulatory Stability:</w:t>
      </w:r>
      <w:r w:rsidRPr="0097158D">
        <w:rPr>
          <w:rFonts w:ascii="Poppins" w:eastAsia="Times New Roman" w:hAnsi="Poppins" w:cs="Poppins"/>
          <w:color w:val="1F1F1F"/>
          <w:kern w:val="0"/>
          <w:lang w:eastAsia="en-GB"/>
          <w14:ligatures w14:val="none"/>
        </w:rPr>
        <w:t xml:space="preserve"> The model assumes no draconian regulatory caps on Future &amp; Options (F&amp;O) volumes by SEBI. A regulatory crackdown would invalidate the 15% growth floor.</w:t>
      </w:r>
    </w:p>
    <w:p w14:paraId="6657CD7B" w14:textId="77777777" w:rsidR="0097158D" w:rsidRPr="0097158D" w:rsidRDefault="0097158D" w:rsidP="0097158D">
      <w:pPr>
        <w:numPr>
          <w:ilvl w:val="0"/>
          <w:numId w:val="5"/>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Interest Rate Environment:</w:t>
      </w:r>
      <w:r w:rsidRPr="0097158D">
        <w:rPr>
          <w:rFonts w:ascii="Poppins" w:eastAsia="Times New Roman" w:hAnsi="Poppins" w:cs="Poppins"/>
          <w:color w:val="1F1F1F"/>
          <w:kern w:val="0"/>
          <w:lang w:eastAsia="en-GB"/>
          <w14:ligatures w14:val="none"/>
        </w:rPr>
        <w:t xml:space="preserve"> The forecast assumes a stable cost of capital. A sharp rise in interest rates would compress the Net Interest Margin (NIM) on the funding book, further deteriorating the OCF deficit.</w:t>
      </w:r>
    </w:p>
    <w:p w14:paraId="5172D47B" w14:textId="77777777" w:rsidR="0097158D" w:rsidRPr="0097158D" w:rsidRDefault="0097158D" w:rsidP="0097158D">
      <w:pPr>
        <w:numPr>
          <w:ilvl w:val="0"/>
          <w:numId w:val="5"/>
        </w:num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Linear Extrapolation:</w:t>
      </w:r>
      <w:r w:rsidRPr="0097158D">
        <w:rPr>
          <w:rFonts w:ascii="Poppins" w:eastAsia="Times New Roman" w:hAnsi="Poppins" w:cs="Poppins"/>
          <w:color w:val="1F1F1F"/>
          <w:kern w:val="0"/>
          <w:lang w:eastAsia="en-GB"/>
          <w14:ligatures w14:val="none"/>
        </w:rPr>
        <w:t xml:space="preserve"> The model applies a smooth 15% growth rate, whereas capital markets are inherently cyclical and volatile.</w:t>
      </w:r>
    </w:p>
    <w:p w14:paraId="3D4E42A2" w14:textId="77777777" w:rsidR="0097158D" w:rsidRPr="0097158D" w:rsidRDefault="0097158D" w:rsidP="0097158D">
      <w:pPr>
        <w:spacing w:after="120"/>
        <w:outlineLvl w:val="1"/>
        <w:rPr>
          <w:rFonts w:ascii="Poppins" w:eastAsia="Times New Roman" w:hAnsi="Poppins" w:cs="Poppins"/>
          <w:b/>
          <w:bCs/>
          <w:color w:val="1F1F1F"/>
          <w:kern w:val="0"/>
          <w:sz w:val="36"/>
          <w:szCs w:val="36"/>
          <w:lang w:eastAsia="en-GB"/>
          <w14:ligatures w14:val="none"/>
        </w:rPr>
      </w:pPr>
      <w:r w:rsidRPr="0097158D">
        <w:rPr>
          <w:rFonts w:ascii="Poppins" w:eastAsia="Times New Roman" w:hAnsi="Poppins" w:cs="Poppins"/>
          <w:b/>
          <w:bCs/>
          <w:color w:val="1F1F1F"/>
          <w:kern w:val="0"/>
          <w:sz w:val="36"/>
          <w:szCs w:val="36"/>
          <w:lang w:eastAsia="en-GB"/>
          <w14:ligatures w14:val="none"/>
        </w:rPr>
        <w:t>8. Appendix</w:t>
      </w:r>
    </w:p>
    <w:p w14:paraId="7E5F136B" w14:textId="77777777" w:rsidR="0097158D" w:rsidRPr="0097158D" w:rsidRDefault="0097158D" w:rsidP="0097158D">
      <w:pPr>
        <w:rPr>
          <w:rFonts w:ascii="Poppins" w:eastAsia="Times New Roman" w:hAnsi="Poppins" w:cs="Poppins"/>
          <w:color w:val="1F1F1F"/>
          <w:kern w:val="0"/>
          <w:lang w:eastAsia="en-GB"/>
          <w14:ligatures w14:val="none"/>
        </w:rPr>
      </w:pPr>
      <w:r w:rsidRPr="0097158D">
        <w:rPr>
          <w:rFonts w:ascii="Poppins" w:eastAsia="Times New Roman" w:hAnsi="Poppins" w:cs="Poppins"/>
          <w:b/>
          <w:bCs/>
          <w:color w:val="1F1F1F"/>
          <w:kern w:val="0"/>
          <w:bdr w:val="none" w:sz="0" w:space="0" w:color="auto" w:frame="1"/>
          <w:lang w:eastAsia="en-GB"/>
          <w14:ligatures w14:val="none"/>
        </w:rPr>
        <w:t>Methodological Note: SQL Forecasting Engine</w:t>
      </w:r>
    </w:p>
    <w:p w14:paraId="2078F685" w14:textId="77777777" w:rsidR="0097158D" w:rsidRPr="0097158D" w:rsidRDefault="0097158D" w:rsidP="0097158D">
      <w:pPr>
        <w:spacing w:after="240"/>
        <w:rPr>
          <w:rFonts w:ascii="Poppins" w:eastAsia="Times New Roman" w:hAnsi="Poppins" w:cs="Poppins"/>
          <w:color w:val="1F1F1F"/>
          <w:kern w:val="0"/>
          <w:lang w:eastAsia="en-GB"/>
          <w14:ligatures w14:val="none"/>
        </w:rPr>
      </w:pPr>
      <w:r w:rsidRPr="0097158D">
        <w:rPr>
          <w:rFonts w:ascii="Poppins" w:eastAsia="Times New Roman" w:hAnsi="Poppins" w:cs="Poppins"/>
          <w:color w:val="1F1F1F"/>
          <w:kern w:val="0"/>
          <w:lang w:eastAsia="en-GB"/>
          <w14:ligatures w14:val="none"/>
        </w:rPr>
        <w:t>The projections utilize a Recursive Common Table Expression (CTE) in SQL to iteratively calculate future states based on previous year outputs.</w:t>
      </w:r>
    </w:p>
    <w:p w14:paraId="1BEF733F" w14:textId="77777777" w:rsidR="0067711C" w:rsidRPr="005D4AC9" w:rsidRDefault="0067711C">
      <w:pPr>
        <w:rPr>
          <w:rFonts w:ascii="Poppins" w:hAnsi="Poppins" w:cs="Poppins"/>
        </w:rPr>
      </w:pPr>
    </w:p>
    <w:sectPr w:rsidR="0067711C" w:rsidRPr="005D4AC9" w:rsidSect="005D4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7EF1"/>
    <w:multiLevelType w:val="multilevel"/>
    <w:tmpl w:val="8C5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D6B32"/>
    <w:multiLevelType w:val="multilevel"/>
    <w:tmpl w:val="3B1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A7780"/>
    <w:multiLevelType w:val="multilevel"/>
    <w:tmpl w:val="7C90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172A1"/>
    <w:multiLevelType w:val="multilevel"/>
    <w:tmpl w:val="D6C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72DB9"/>
    <w:multiLevelType w:val="multilevel"/>
    <w:tmpl w:val="810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31390">
    <w:abstractNumId w:val="4"/>
  </w:num>
  <w:num w:numId="2" w16cid:durableId="84696198">
    <w:abstractNumId w:val="1"/>
  </w:num>
  <w:num w:numId="3" w16cid:durableId="1999265368">
    <w:abstractNumId w:val="2"/>
  </w:num>
  <w:num w:numId="4" w16cid:durableId="455833012">
    <w:abstractNumId w:val="0"/>
  </w:num>
  <w:num w:numId="5" w16cid:durableId="1640962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8D"/>
    <w:rsid w:val="004360BC"/>
    <w:rsid w:val="00437E63"/>
    <w:rsid w:val="005D4AC9"/>
    <w:rsid w:val="00641AE1"/>
    <w:rsid w:val="0067711C"/>
    <w:rsid w:val="008D311B"/>
    <w:rsid w:val="00926518"/>
    <w:rsid w:val="0097158D"/>
    <w:rsid w:val="00996808"/>
    <w:rsid w:val="00C20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60E0"/>
  <w15:chartTrackingRefBased/>
  <w15:docId w15:val="{1512AB9C-CE67-0946-9DF1-571B00A1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1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1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58D"/>
    <w:rPr>
      <w:rFonts w:eastAsiaTheme="majorEastAsia" w:cstheme="majorBidi"/>
      <w:color w:val="272727" w:themeColor="text1" w:themeTint="D8"/>
    </w:rPr>
  </w:style>
  <w:style w:type="paragraph" w:styleId="Title">
    <w:name w:val="Title"/>
    <w:basedOn w:val="Normal"/>
    <w:next w:val="Normal"/>
    <w:link w:val="TitleChar"/>
    <w:uiPriority w:val="10"/>
    <w:qFormat/>
    <w:rsid w:val="00971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5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5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158D"/>
    <w:rPr>
      <w:i/>
      <w:iCs/>
      <w:color w:val="404040" w:themeColor="text1" w:themeTint="BF"/>
    </w:rPr>
  </w:style>
  <w:style w:type="paragraph" w:styleId="ListParagraph">
    <w:name w:val="List Paragraph"/>
    <w:basedOn w:val="Normal"/>
    <w:uiPriority w:val="34"/>
    <w:qFormat/>
    <w:rsid w:val="0097158D"/>
    <w:pPr>
      <w:ind w:left="720"/>
      <w:contextualSpacing/>
    </w:pPr>
  </w:style>
  <w:style w:type="character" w:styleId="IntenseEmphasis">
    <w:name w:val="Intense Emphasis"/>
    <w:basedOn w:val="DefaultParagraphFont"/>
    <w:uiPriority w:val="21"/>
    <w:qFormat/>
    <w:rsid w:val="0097158D"/>
    <w:rPr>
      <w:i/>
      <w:iCs/>
      <w:color w:val="0F4761" w:themeColor="accent1" w:themeShade="BF"/>
    </w:rPr>
  </w:style>
  <w:style w:type="paragraph" w:styleId="IntenseQuote">
    <w:name w:val="Intense Quote"/>
    <w:basedOn w:val="Normal"/>
    <w:next w:val="Normal"/>
    <w:link w:val="IntenseQuoteChar"/>
    <w:uiPriority w:val="30"/>
    <w:qFormat/>
    <w:rsid w:val="00971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58D"/>
    <w:rPr>
      <w:i/>
      <w:iCs/>
      <w:color w:val="0F4761" w:themeColor="accent1" w:themeShade="BF"/>
    </w:rPr>
  </w:style>
  <w:style w:type="character" w:styleId="IntenseReference">
    <w:name w:val="Intense Reference"/>
    <w:basedOn w:val="DefaultParagraphFont"/>
    <w:uiPriority w:val="32"/>
    <w:qFormat/>
    <w:rsid w:val="0097158D"/>
    <w:rPr>
      <w:b/>
      <w:bCs/>
      <w:smallCaps/>
      <w:color w:val="0F4761" w:themeColor="accent1" w:themeShade="BF"/>
      <w:spacing w:val="5"/>
    </w:rPr>
  </w:style>
  <w:style w:type="paragraph" w:styleId="NormalWeb">
    <w:name w:val="Normal (Web)"/>
    <w:basedOn w:val="Normal"/>
    <w:uiPriority w:val="99"/>
    <w:semiHidden/>
    <w:unhideWhenUsed/>
    <w:rsid w:val="0097158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97158D"/>
    <w:rPr>
      <w:rFonts w:ascii="Courier New" w:eastAsia="Times New Roman" w:hAnsi="Courier New" w:cs="Courier New"/>
      <w:sz w:val="20"/>
      <w:szCs w:val="20"/>
    </w:rPr>
  </w:style>
  <w:style w:type="character" w:customStyle="1" w:styleId="ng-tns-c3185078202-130">
    <w:name w:val="ng-tns-c3185078202-130"/>
    <w:basedOn w:val="DefaultParagraphFont"/>
    <w:rsid w:val="0097158D"/>
  </w:style>
  <w:style w:type="paragraph" w:styleId="HTMLPreformatted">
    <w:name w:val="HTML Preformatted"/>
    <w:basedOn w:val="Normal"/>
    <w:link w:val="HTMLPreformattedChar"/>
    <w:uiPriority w:val="99"/>
    <w:semiHidden/>
    <w:unhideWhenUsed/>
    <w:rsid w:val="00971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7158D"/>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97158D"/>
  </w:style>
  <w:style w:type="character" w:customStyle="1" w:styleId="hljs-keyword">
    <w:name w:val="hljs-keyword"/>
    <w:basedOn w:val="DefaultParagraphFont"/>
    <w:rsid w:val="0097158D"/>
  </w:style>
  <w:style w:type="character" w:customStyle="1" w:styleId="hljs-number">
    <w:name w:val="hljs-number"/>
    <w:basedOn w:val="DefaultParagraphFont"/>
    <w:rsid w:val="0097158D"/>
  </w:style>
  <w:style w:type="character" w:customStyle="1" w:styleId="hljs-operator">
    <w:name w:val="hljs-operator"/>
    <w:basedOn w:val="DefaultParagraphFont"/>
    <w:rsid w:val="00971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85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sardesai</dc:creator>
  <cp:keywords/>
  <dc:description/>
  <cp:lastModifiedBy>kaustubh sardesai</cp:lastModifiedBy>
  <cp:revision>3</cp:revision>
  <dcterms:created xsi:type="dcterms:W3CDTF">2026-02-10T04:55:00Z</dcterms:created>
  <dcterms:modified xsi:type="dcterms:W3CDTF">2026-02-10T05:00:00Z</dcterms:modified>
</cp:coreProperties>
</file>