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СТРУКТУРА САЙТА</w:t>
      </w:r>
    </w:p>
    <w:p>
      <w:pPr>
        <w:spacing w:after="100"/>
        <w:jc w:val="center"/>
      </w:pPr>
      <w:r>
        <w:rPr>
          <w:rFonts w:ascii="Arial" w:cs="Arial" w:eastAsia="Arial" w:hAnsi="Arial"/>
          <w:color w:val="2D5F8A"/>
          <w:sz w:val="36"/>
          <w:szCs w:val="36"/>
        </w:rPr>
        <w:t xml:space="preserve">Юридическая компания</w:t>
      </w:r>
    </w:p>
    <w:p>
      <w:pPr>
        <w:pBdr>
          <w:bottom w:val="single" w:color="2D5F8A" w:sz="6" w:space="8"/>
        </w:pBd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Экспертиза. Защита. Результат.</w:t>
      </w: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Полная структура, контент-план и тексты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География: вся Россия | Целевое действие: заявка / звонок / мессенджер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Версия 2.0 — Март 2026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2D5F8A"/>
          <w:sz w:val="20"/>
          <w:szCs w:val="20"/>
        </w:rPr>
        <w:t xml:space="preserve">Примечание: страницы практик (9 шт.) — отдельный документ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Карта навигации сайта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Основное меню — 6 пунктов, фиксированная шапка. Рядом с меню — кликабельный телефон + CTA-кнопка «Консультация с юристом».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Пункт меню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Главная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4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Продающий лендинг с основным оффером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 компании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/about</w:t>
            </w:r>
          </w:p>
        </w:tc>
        <w:tc>
          <w:tcPr>
            <w:tcW w:type="dxa" w:w="4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История, команда, ценности, УТП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Услуги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/services</w:t>
            </w:r>
          </w:p>
        </w:tc>
        <w:tc>
          <w:tcPr>
            <w:tcW w:type="dxa" w:w="4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Выпадающий плоский список всех 9 практик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Кейсы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/cases</w:t>
            </w:r>
          </w:p>
        </w:tc>
        <w:tc>
          <w:tcPr>
            <w:tcW w:type="dxa" w:w="4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Результаты с цифрами и деталями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Блог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/blog</w:t>
            </w:r>
          </w:p>
        </w:tc>
        <w:tc>
          <w:tcPr>
            <w:tcW w:type="dxa" w:w="4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Экспертные статьи, разборы, новости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Контакты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/contacts</w:t>
            </w:r>
          </w:p>
        </w:tc>
        <w:tc>
          <w:tcPr>
            <w:tcW w:type="dxa" w:w="4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каналы связи, карта, форма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1.1. Выпадающий список «Услуги»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Плоский список без группировки, 9 практик: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026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Практика</w:t>
            </w:r>
          </w:p>
        </w:tc>
        <w:tc>
          <w:tcPr>
            <w:tcW w:type="dxa" w:w="4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Сопровождение налоговых споров</w:t>
            </w:r>
          </w:p>
        </w:tc>
        <w:tc>
          <w:tcPr>
            <w:tcW w:type="dxa" w:w="4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/services/tax-disputes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Споры с государственными органами</w:t>
            </w:r>
          </w:p>
        </w:tc>
        <w:tc>
          <w:tcPr>
            <w:tcW w:type="dxa" w:w="4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/services/government-disputes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Корпоративные споры</w:t>
            </w:r>
          </w:p>
        </w:tc>
        <w:tc>
          <w:tcPr>
            <w:tcW w:type="dxa" w:w="4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/services/corporate-disputes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Судебные споры и медиация</w:t>
            </w:r>
          </w:p>
        </w:tc>
        <w:tc>
          <w:tcPr>
            <w:tcW w:type="dxa" w:w="4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/services/litigation-mediation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Банкротство и субсидиарная ответственность</w:t>
            </w:r>
          </w:p>
        </w:tc>
        <w:tc>
          <w:tcPr>
            <w:tcW w:type="dxa" w:w="4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/services/bankruptcy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Юридическое сопровождение ИТ-бизнеса</w:t>
            </w:r>
          </w:p>
        </w:tc>
        <w:tc>
          <w:tcPr>
            <w:tcW w:type="dxa" w:w="4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/services/it-business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Сопровождение сделок (M&amp;A и Due Diligence)</w:t>
            </w:r>
          </w:p>
        </w:tc>
        <w:tc>
          <w:tcPr>
            <w:tcW w:type="dxa" w:w="4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/services/ma-deals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Недвижимость</w:t>
            </w:r>
          </w:p>
        </w:tc>
        <w:tc>
          <w:tcPr>
            <w:tcW w:type="dxa" w:w="4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/services/real-estate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Регистрация и ликвидация компаний</w:t>
            </w:r>
          </w:p>
        </w:tc>
        <w:tc>
          <w:tcPr>
            <w:tcW w:type="dxa" w:w="4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/services/registration</w:t>
            </w:r>
          </w:p>
        </w:tc>
      </w:tr>
    </w:tbl>
    <w:p>
      <w:pPr>
        <w:spacing w:after="60"/>
      </w:pPr>
    </w:p>
    <w:p>
      <w:pPr>
        <w:pBdr>
          <w:left w:val="single" w:color="2D5F8A" w:sz="12" w:space="8"/>
        </w:pBdr>
        <w:spacing w:before="100" w:after="100"/>
        <w:ind w:left="200"/>
      </w:pPr>
      <w:r>
        <w:rPr>
          <w:rFonts w:ascii="Arial" w:cs="Arial" w:eastAsia="Arial" w:hAnsi="Arial"/>
          <w:i/>
          <w:iCs/>
          <w:color w:val="2D5F8A"/>
          <w:sz w:val="22"/>
          <w:szCs w:val="22"/>
        </w:rPr>
        <w:t xml:space="preserve">Страницы практик (9 шт.) будут детально расписаны в отдельном документе.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Главная страница (/)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Главная — продающий лендинг из 9 блоков. Задача: за 10–15 секунд объяснить кто вы, чем отличаетесь и почему стоит обратиться. Каждый экран решает конкретную задачу в цепочке принятия решения.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2.1. Hero-секция (первый экран)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Задача: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моментально зацепить внимание и сформулировать ключевой оффер.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Элементы: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«Индивидуальные юридические решения для вашего бизнеса»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«Комплексные юридические услуги для бизнеса любого масштаба. Наша экспертиза основана на практическом опыте работы в государственных органах, судах и международных консалтинговых фирмах. Обширный опыт позволяет эффективно решать любые нестандартные задачи в сфере права, налогов и финансов. Делаем это надежно, комфортно и уверенно.»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CTA основная (акцентный цвет):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«Обсудить мою ситуацию» → открывает форму заявки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CTA вторичная (контурная):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«Смотреть результаты» → якорная ссылка на блок кейсов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Цифровой бар (3 метрики, анимация счетчика):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5F8A"/>
                <w:sz w:val="32"/>
                <w:szCs w:val="32"/>
              </w:rPr>
              <w:t xml:space="preserve">10+ лет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опыта и практики</w:t>
            </w:r>
          </w:p>
        </w:tc>
        <w:tc>
          <w:tcPr>
            <w:tcW w:type="dxa" w:w="30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5F8A"/>
                <w:sz w:val="32"/>
                <w:szCs w:val="32"/>
              </w:rPr>
              <w:t xml:space="preserve">100+ дел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выиграно</w:t>
            </w:r>
          </w:p>
        </w:tc>
        <w:tc>
          <w:tcPr>
            <w:tcW w:type="dxa" w:w="300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5F8A"/>
                <w:sz w:val="32"/>
                <w:szCs w:val="32"/>
              </w:rPr>
              <w:t xml:space="preserve">1 млрд+ ₽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сохранено клиентам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Рекомендации по дизайну: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Фон: темный (темно-синий или графитовый) с приглушенной текстурой или абстрактной графикой. Никаких стоковых фото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Заголовок: белый, крупный, без засечек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Цифровой бар: на контрастной полосе. Цифры крупные, подписи мелкие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Мобильная версия: заголовок + одна кнопка CTA + цифры в столбик</w:t>
      </w:r>
    </w:p>
    <w:p>
      <w:pPr>
        <w:spacing w:after="60"/>
      </w:pPr>
    </w:p>
    <w:p>
      <w:pPr>
        <w:pBdr>
          <w:left w:val="single" w:color="2D5F8A" w:sz="12" w:space="8"/>
        </w:pBdr>
        <w:spacing w:before="100" w:after="100"/>
        <w:ind w:left="200"/>
      </w:pPr>
      <w:r>
        <w:rPr>
          <w:rFonts w:ascii="Arial" w:cs="Arial" w:eastAsia="Arial" w:hAnsi="Arial"/>
          <w:i/>
          <w:iCs/>
          <w:color w:val="2D5F8A"/>
          <w:sz w:val="22"/>
          <w:szCs w:val="22"/>
        </w:rPr>
        <w:t xml:space="preserve">Маркетинговая логика: заголовок широкий — ловит весь спектр запросов. Подзаголовок перечисляет направления. УТП про опыт в государственных органах, судах и консалтинге работает для всех категорий споров.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2.2. Блок «Знакомая ситуация?» (квалификация боли)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Задача: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посетитель должен узнать себя. Если узнал — остается на сайте.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Заголовок блока: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«Знакомая ситуация?»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«Наши клиенты приходят к нам именно с такими проблемами»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 карточек (сетка 2×3, иконка + текст):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«Налоговый орган назначил выездную проверку или доначислил налоги»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«Сайт компании не соответствует требованиям Роскомнадзора. Грозит ответственность в виде штрафа или блокировки»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«Контрагент нарушил условия договора и уклоняется от исполнения обязательств»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«Компании грозит банкротство или руководителю предъявляют субсидиарную ответственность»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«Конфликт между партнерами или акционерами угрожает управлению и активам компании»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«Необходима юридическая проверка контрагента или документов на чистоту перед заключением сделки»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Текст под карточками: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«За каждой из этих ситуаций стоят реальные финансовые и правовые риски для бизнеса. За 10 лет практики мы видели сотни подобных дел, наш практический опыт позволяет выстраивать защиту точечно и результативно.»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«Рассказать о своей ситуации»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Рекомендации по дизайну: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Карточки: светлый фон, тонкая рамка или тень, иконка слева (линейная, минималистичная)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наведении — легкая анимация (подъем тени или изменение цвета рамки)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Текст в карточке: 1–2 строки, строгий деловой тон</w:t>
      </w:r>
    </w:p>
    <w:p>
      <w:pPr>
        <w:spacing w:after="60"/>
      </w:pPr>
    </w:p>
    <w:p>
      <w:pPr>
        <w:pBdr>
          <w:left w:val="single" w:color="2D5F8A" w:sz="12" w:space="8"/>
        </w:pBdr>
        <w:spacing w:before="100" w:after="100"/>
        <w:ind w:left="200"/>
      </w:pPr>
      <w:r>
        <w:rPr>
          <w:rFonts w:ascii="Arial" w:cs="Arial" w:eastAsia="Arial" w:hAnsi="Arial"/>
          <w:i/>
          <w:iCs/>
          <w:color w:val="2D5F8A"/>
          <w:sz w:val="22"/>
          <w:szCs w:val="22"/>
        </w:rPr>
        <w:t xml:space="preserve">Маркетинговая логика: блок работает на уровне распознавания проблемы. Клиент должен увидеть свою ситуацию в одной из карточек. Карточки покрывают ключевые направления практики.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2.3. Блок «Почему бизнес выбирает нас» (дифференциация)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Задача: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объяснить, чем компания отличается от сотен других юридических фирм.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Заголовок блока: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«Почему бизнес выбирает нас»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Столп 1 — Знаем систему изнутри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«Опыт работы в государственных органах, судах и консалтинге формирует понимание логики принятия решений с любой стороны. Это позволяет выстраивать защиту точечно под каждую конкретную ситуацию.»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Столп 2 — Работаем на результат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«Эффективность работы измеряется конкретными показателями: 100+ успешно завершенных дел, более 1 млрд рублей сохранено в интересах клиентов. Каждое дело сопровождается до достижения результата — без затягивания процесса и избыточных процедур.»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Столп 3 — Полный спектр юридического сопровождения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«Комплексный подход позволяет закрывать весь спектр правовых задач бизнеса — от налоговых споров и сопровождения сделок до корпоративных конфликтов и банкротства. Клиент получает единую команду для решения любых юридических вопросов.»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Рекомендации по дизайну: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Три колонки на десктопе, вертикальный стек на мобильном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Крупная иконка сверху (щит, мишень, рукопожатие), заголовок жирным, текст обычным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Фон блока слегка отличается (светло-серый или легкий градиент)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2.4. Блок «Направления нашей работы» (обзор практик)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Задача: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показать ширину экспертизы с фокусом на налоговых спорах.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«Направления нашей работы»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«Полный спектр юридической защиты для бизнеса»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Крупная карточка — Налоговые споры: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Бейдж: «Ключевая экспертиза»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«Досудебное и судебное сопровождение налоговых споров. Защита от доначислений, оспаривание результатов проверок, взаимодействие с налоговыми органами на всех уровнях.»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Остальные 8 карточек (одинаковый размер, сетка):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Практика</w:t>
            </w:r>
          </w:p>
        </w:tc>
        <w:tc>
          <w:tcPr>
            <w:tcW w:type="dxa" w:w="5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 карточки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Споры с государственными органами</w:t>
            </w:r>
          </w:p>
        </w:tc>
        <w:tc>
          <w:tcPr>
            <w:tcW w:type="dxa" w:w="5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Административные споры. Обжалование решений, действий и бездействия государственных органов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Корпоративные споры</w:t>
            </w:r>
          </w:p>
        </w:tc>
        <w:tc>
          <w:tcPr>
            <w:tcW w:type="dxa" w:w="5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Защита прав учредителей и акционеров, обжалование решений органов управления юридического лица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Судебные споры и медиация</w:t>
            </w:r>
          </w:p>
        </w:tc>
        <w:tc>
          <w:tcPr>
            <w:tcW w:type="dxa" w:w="5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Споры с контрагентами, взыскание задолженности, досудебное урегулирование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Банкротство и субсидиарная ответственность</w:t>
            </w:r>
          </w:p>
        </w:tc>
        <w:tc>
          <w:tcPr>
            <w:tcW w:type="dxa" w:w="5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Сопровождение процедуры банкротства, защита от субсидиарной ответственности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Сопровождение сделок (M&amp;A и Due Diligence)</w:t>
            </w:r>
          </w:p>
        </w:tc>
        <w:tc>
          <w:tcPr>
            <w:tcW w:type="dxa" w:w="5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Правовой аудит объекта сделки, разработка юридической стратегии и документации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Недвижимость</w:t>
            </w:r>
          </w:p>
        </w:tc>
        <w:tc>
          <w:tcPr>
            <w:tcW w:type="dxa" w:w="5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Споры по аренде, праву собственности, землепользованию и кадастровой стоимости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Юридическое сопровождение ИТ-бизнеса</w:t>
            </w:r>
          </w:p>
        </w:tc>
        <w:tc>
          <w:tcPr>
            <w:tcW w:type="dxa" w:w="5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Правовое сопровождение ИТ-компаний: защита интеллектуальной собственности, персональные данные, соответствие требованиям регуляторов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Регистрация и ликвидация компаний</w:t>
            </w:r>
          </w:p>
        </w:tc>
        <w:tc>
          <w:tcPr>
            <w:tcW w:type="dxa" w:w="5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Сопровождение процедуры создания, реорганизации и ликвидации компании. Оспаривание решений регистрационного органа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Каждая карточка: иконка + название + текст + кнопка «Подробнее» → страница практики.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Рекомендации по дизайну: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Сопровождение налоговых споров: шире остальных, акцентный фон или рамка, бейдж в углу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Остальные: единый стиль, нейтральный фон, анимация при наведении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Если 9 карточек много — показать 6–7 + кнопка «Все услуги»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2.5. Якорный кейс + мини-кейсы (социальное доказательство)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Задача: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показать конкретный результат, который впечатляет и убеждает.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«Примеры дел из практики»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«Каждый кейс — это реальный бизнес, реальные риски и реальный результат»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Якорный кейс (крупный блок, выделенный фоном):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Заголовок кейса: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«Отмена результатов выездной налоговой проверки горнодобывающей компании в полном объеме на сумму более 150 млн рублей»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«По результатам выездной налоговой проверки горнодобывающую компанию привлекли к ответственности за дробление бизнеса и взаимоотношения с "техническими" компаниями в производственном процессе. Налоговый орган доначислил налог на добычу полезных ископаемых, НДС и налог на прибыль организаций. На момент обращения судебная практика складывалась против налогоплательщика и ситуация казалась безвыходной.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 результатам нашей работы решение налогового органа было признано недействительным в полном объеме. Структурный анализ внутренней документации горно-промышленного комплекса позволил выстроить позицию по защите производственного процесса от присвоения признаков дробления компании. Аналогичным структурным анализом контрагентов нам удалось обосновать отсутствие у них признаков "технических" компаний.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Итог: более 150 млн рублей доначислений отменены. Бизнес сохранен. Уголовные риски для собственника устранены.»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Визуал: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таймлайн «было → сделали → стало» или инфографика.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Мини-кейсы (3 карточки под якорным):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Показывают ширину экспертизы за пределами налогов: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Кейс 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«Защитили права учредителя нефтедобывающей компании от неправомерных действий генерального директора». Неправомерные действия генерального директора повлекли значительные убытки для организации, выполнявшей подрядные работы по добыче нефти на месторождении в Курганской области. В отношении организации инициировали процедуру банкротства. Наша команда помогла прекратить процедуру банкротства и взыскать убытки с бывшего генерального директора.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Кейс 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«Оспорили штраф Роскомнадзора за ненадлежащее оформление рекламы на сайте компании». Компания допустила незначительные ошибки при юридическом оформлении рекламных материалов на сайте, что привело к штрафным санкциям со стороны Роскомнадзора. По результатам нашей работы штраф отменен в полном объеме.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Кейс 3: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«Взыскали задолженность по договору с генерального подрядчика по государственному контракту». Организация выполняла подрядные работы по строительству участка дороги. Генеральный подрядчик отказывался оплачивать выполненные работы, ссылаясь на нарушения в заполнении документации. Результат: в судебном порядке взыскали с генерального подрядчика задолженность по договору, неустойку и проценты.</w:t>
      </w:r>
    </w:p>
    <w:p>
      <w:pPr>
        <w:spacing w:after="60"/>
      </w:pPr>
    </w:p>
    <w:p>
      <w:pPr>
        <w:pBdr>
          <w:left w:val="single" w:color="2D5F8A" w:sz="12" w:space="8"/>
        </w:pBdr>
        <w:spacing w:before="100" w:after="100"/>
        <w:ind w:left="200"/>
      </w:pPr>
      <w:r>
        <w:rPr>
          <w:rFonts w:ascii="Arial" w:cs="Arial" w:eastAsia="Arial" w:hAnsi="Arial"/>
          <w:i/>
          <w:iCs/>
          <w:color w:val="2D5F8A"/>
          <w:sz w:val="22"/>
          <w:szCs w:val="22"/>
        </w:rPr>
        <w:t xml:space="preserve">Полная версия кейсов представлена в разделе «Кейсы».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«Обсудить вашу задачу» → форма заявки (блок 2.9)</w:t>
      </w:r>
    </w:p>
    <w:p>
      <w:pPr>
        <w:spacing w:after="60"/>
      </w:pPr>
    </w:p>
    <w:p>
      <w:pPr>
        <w:pBdr>
          <w:left w:val="single" w:color="2D5F8A" w:sz="12" w:space="8"/>
        </w:pBdr>
        <w:spacing w:before="100" w:after="100"/>
        <w:ind w:left="200"/>
      </w:pPr>
      <w:r>
        <w:rPr>
          <w:rFonts w:ascii="Arial" w:cs="Arial" w:eastAsia="Arial" w:hAnsi="Arial"/>
          <w:i/>
          <w:iCs/>
          <w:color w:val="2D5F8A"/>
          <w:sz w:val="22"/>
          <w:szCs w:val="22"/>
        </w:rPr>
        <w:t xml:space="preserve">Маркетинговая логика: один сильный кейс убеждает лучше десяти средних. Конкретные суммы и обстоятельства формируют восприятие уровня. Мини-кейсы показывают широту практики.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2.6. Блок «Как мы работаем» (снятие неопределенности)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«Как мы работаем»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«Прозрачный процесс на каждом этапе»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626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5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01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Обращение</w:t>
            </w:r>
          </w:p>
        </w:tc>
        <w:tc>
          <w:tcPr>
            <w:tcW w:type="dxa" w:w="5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 оставляете заявку. Мы оперативно связываемся для первичного обсуждения ситуации.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02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Анализ ситуации</w:t>
            </w:r>
          </w:p>
        </w:tc>
        <w:tc>
          <w:tcPr>
            <w:tcW w:type="dxa" w:w="5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Изучаем документы, оцениваем правовые риски и перспективы дела. Определяем стратегию защиты.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03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Работа по делу</w:t>
            </w:r>
          </w:p>
        </w:tc>
        <w:tc>
          <w:tcPr>
            <w:tcW w:type="dxa" w:w="5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Ведем дело на всех стадиях — от досудебного урегулирования до представительства в суде.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04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56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Доводим дело до результата и сопровождаем клиента после его достижения.</w:t>
            </w:r>
          </w:p>
        </w:tc>
      </w:tr>
    </w:tbl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Рекомендации по дизайну: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Горизонтальный таймлайн с пронумерованными точками, стрелки между шагами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 мобильном — вертикальный стек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2.7. Блок «Команда»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«Наша команда»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«Юристы с практическим опытом работы в государственных органах, судах и консалтинге»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Карточка каждого юриста: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Профессиональное фото (деловое, без стоковой улыбки)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Имя + должность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Специализация (весь спектр, не только налоги)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Краткое описание опыта (опыт в государственных органах, судах и консалтинге, образование, ключевые достижения)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Контакты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2.8. Превью блога (экспертиза)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«Экспертные материалы»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«Аналитика и разборы актуальной правовой практики»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последние статьи в карточках (изображение + заголовок + 1 строка + дата):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«Что делать, если пришло уведомление о выездной проверке: пошаговая инструкция»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«5 ситуаций, когда бизнесу нужен юрист до того, как начались проблемы»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«Субсидиарная ответственность директора в 2026: как защититься»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«Все публикации» → /blog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2.9. Финальный CTA + Контакты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«Обсудим вашу ситуацию»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«Оставьте заявку — мы свяжемся с вами для консультации с юристом и оценки перспектив вашего дела.»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Форма заявки (3 поля):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Имя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Телефон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Опишите вашу ситуацию (textarea, опционально)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Кнопка «Отправить заявку»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Мелкий текст: «Конфиденциальность гарантирована. Нажимая кнопку, вы соглашаетесь с политикой обработки персональных данных и конфиденциальности.»</w:t>
      </w:r>
    </w:p>
    <w:p>
      <w:pPr>
        <w:spacing w:after="6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Рядом с формой: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Телефон (крупный, кликабельный)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Telegram + WhatsApp (иконки + прямые ссылки)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Адрес офиса + мини-карта (Яндекс.Карты)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Режим работы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Текст: «Работаем с клиентами по всей России. Консультации онлайн, по телефону и в мессенджерах.»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Страница «О компании» (/about)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Работает на тех, кто уже заинтересовался, но хочет узнать больше перед обращением. Цель — усилить доверие.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3.1. Hero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«О компании»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«Мы юридическая компания, объединившая практический опыт работы в государственных органах, судах и консалтинге. Наша команда сопровождает бизнес в самых сложных правовых ситуациях: от налоговых споров и проверок до корпоративных конфликтов, банкротства и сопровождения сделок. В основе нашей работы лежит глубокое понимание того, как устроена система и как принимаются решения по обе стороны спора. Этот опыт позволяет выстраивать защиту не формально, а точечно, исходя из логики каждой конкретной ситуации и интересов клиента. Мы не предлагаем шаблонных решений. Каждое дело это индивидуальная стратегия, основанная на праве, практике и реальном понимании последствий для бизнеса.»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3.2. Как все начиналось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«Идея создания компании родилась в процессе работы на государственной службе.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Изнутри системы мы видели, как устроены налоговые споры и проверки, и понимали логику принятия решений со стороны государственного органа, а также потребность налогоплательщиков в качественных услугах.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Именно там пришло осознание ключевой проблемы: на рынке недостаточно квалифицированных кадров.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2024 году мы оставили государственную службу и основали собственную юридическую компанию. За плечами каждого юриста большой практический опыт работы в разных сферах права. Для решения задач любого масштаба мы привлекаем команду проверенных специалистов и партнеров. Компания молодая, но за ней стоит зрелая экспертиза и понимание системы, которое невозможно получить со стороны.»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3.3. Принципы работы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Конфиденциальность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«Любая информация, полученная от клиента, строго конфиденциальна и не передается третьим лицам. Конфиденциальность гарантирована на каждом этапе сотрудничества.»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Честная оценка перспектив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«Мы даем объективную оценку ситуации с самого начала. Если перспектив у дела нет, мы говорим об этом прямо, а не вовлекаем клиента в заведомо проигрышный процесс.»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Ориентация на результат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«Наша цель не сопровождение процесса, а достижение конкретного результата. Мы выстраиваем стратегию заранее и доводим дело до итога.»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Глубокое погружение в дело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«Мы детально изучаем специфику бизнеса и обстоятельства каждой ситуации. Такой подход позволяет находить решения там, где поверхностный анализ их не выявляет.»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3.4. Экспертиза в цифрах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10+ лет практического опыта | 100+ успешно завершенных дел | 1 млрд+ рублей сохранено в интересах клиентов | 9 направлений юридической практики</w:t>
      </w:r>
    </w:p>
    <w:p>
      <w:pPr>
        <w:spacing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Страница «Кейсы» (/cases)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4.1. Hero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«Примеры дел из практики»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«Реальные дела из нашей практики: сложные ситуации, конкретные решения и достигнутые результаты. Каждый кейс это бизнес, столкнувшийся с серьезными правовыми и финансовыми рисками, и работа, которая позволила эти риски устранить.»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4.2. Сетка кейсов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Заголовок-результат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Крупно: «Отмена результатов выездной налоговой проверки на сумму более 150 млн рублей»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Тег практики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Налоговые споры / Корпоративный спор / Споры с контрагентами / и т.д.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Клиент (анонимно)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Отрасль (например: горнодобывающая компания, нефтедобывающая компания)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 предложения: с чем обратился клиент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Конкретные цифры и итог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Все кейсы выводятся карточками на одной странице. Содержание раскрывается прямо на странице, без фильтров и без отдельных детальных страниц. На странице размещаются 4 дела из блока 2.5: отмена результатов налоговой проверки горнодобывающей компании, защита прав учредителя нефтедобывающей компании, оспаривание штрафа Роскомнадзора и взыскание задолженности по государственному контракту.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«Обсудить вашу задачу» → форма заявки (блок 2.9)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Блог (/blog)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5.1. Hero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«Блог»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«Разбираем реальные ситуации, делимся экспертизой, следим за изменениями в законодательстве»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5.2. Рубрики (фильтр)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Горизонтальные табы: Все | Налоговые споры | Споры с государством | Бизнесу на заметку | Судебная практика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5.3. Карточка статьи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Изображение-превью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Рубрика (тег)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Заголовок (кликабельный)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1–2 строки описания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Дата публикации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Время чтения (опционально)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5.4. Боковая панель / блок внизу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Поиск по блогу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Популярные статьи (топ-3)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CTA-баннер: «Нужна консультация? Обсудим вашу ситуацию» + кнопка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Подписка на рассылку (опционально)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5.5. Контент-стратегия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Частота: 2–4 статьи в месяц.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SEO-статьи: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оптимизированы под поисковые запросы: «как оспорить доначисления», «банкротство юридического лица порядок», «субсидиарная ответственность директора 2026»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Разборы кейсов: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подробный анализ реальных дел без названий компаний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Реакция на изменения: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комментарии к новым законам, письмам ФНС, судебным решениям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Чек-листы и гайды: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скачиваемый контент в обмен на email (лид-магнит)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Страница «Контакты» (/contacts)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«Контакты»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6.1. Элементы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Телефон (крупный, кликабельный)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Telegram (иконка + ссылка)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WhatsApp (иконка + ссылка)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Адрес офиса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Режим работы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Карта: Яндекс.Карты с меткой офиса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Текст: «Работаем с клиентами по всей России. Консультации проводим лично, онлайн, по телефону и в мессенджерах.»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6.2. Форма обратной связи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Имя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Телефон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Опишите вашу ситуацию (textarea)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Кнопка «Отправить»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Сквозные элементы (на всех страницах)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7.1. Header (шапка)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Логотип (левый угол) → клик ведет на главную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Основное меню (центр): Главная | О компании | Услуги ▾ | Кейсы | Блог | Контакты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Телефон (правый угол, кликабельный)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CTA-кнопка «Консультация с юристом» (акцентный цвет)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Sticky header при скролле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Мобильная версия: логотип + бургер-меню + кнопка телефона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7.2. Footer (подвал)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Логотип + краткое описание: «Юридическая защита бизнеса. Налоговые, корпоративные и судебные споры по всей России.»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Навигация: дублирует основное меню + ссылки на все практики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Контакты: телефон, email, мессенджеры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Юридическая информация: ИНН, ОГРН, полное наименование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Политика конфиденциальности (ссылка)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Ссылки на соцсети (если есть)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7.3. Плавающие элементы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Виджет мессенджера (нижний правый угол): иконка Telegram/WhatsApp, ненавязчивый, без авто-popup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Кнопка «Наверх» при длинном скролле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Мобильная фиксированная панель (нижняя): «Позвонить» + «Написать» — всегда видны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7.4. Pop-up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Только на страницах блога. Exit-intent: «Скачайте чек-лист: что делать при налоговой проверке» в обмен на email.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 остальных страницах pop-up не используем — люди в стрессовой ситуации воспринимают его как давление.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Технические и SEO-рекомендации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8.1.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Уникальные title и meta description для каждой страницы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Структурированные данные Schema.org: LegalService, Attorney, FAQPage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Быстрая загрузка: LCP &lt; 2.5s, CLS &lt; 0.1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Mobile-first адаптивный дизайн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SSL-сертификат (https)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Sitemap.xml и robots.txt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Региональная привязка в Яндекс.Вебмастер — вся Россия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Яндекс.Справочник и Google Business Profile — обязательно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8.2. Аналитика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Яндекс.Метрика + Google Analytics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Цели: отправка формы, клик по телефону, клик по мессенджеру, скачивание материала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Вебвизор для анализа поведения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UTM-разметка для всех рекламных источников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D5F8A"/>
          <w:sz w:val="28"/>
          <w:szCs w:val="28"/>
        </w:rPr>
        <w:t xml:space="preserve">8.3. Конверсионная оптимизация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Форма — максимум 3 поля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Автоответ на заявку: «Мы получили ваше обращение. Свяжемся в течение 2 часов»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Интеграция с CRM (Bitrix24 или amoCRM)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Коллтрекинг для отслеживания звонков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Приоритеты реализации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Рекомендуемая очередность разработки: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4726"/>
      </w:tblGrid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делаем</w:t>
            </w:r>
          </w:p>
        </w:tc>
        <w:tc>
          <w:tcPr>
            <w:tcW w:type="dxa" w:w="4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Главная + Налоговые споры + Контакты</w:t>
            </w:r>
          </w:p>
        </w:tc>
        <w:tc>
          <w:tcPr>
            <w:tcW w:type="dxa" w:w="4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Минимальный жизнеспособный сайт для запуска рекламы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Кейсы (3–5 штук) + О компании</w:t>
            </w:r>
          </w:p>
        </w:tc>
        <w:tc>
          <w:tcPr>
            <w:tcW w:type="dxa" w:w="4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Усиление доверия и конверсии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Остальные 10 страниц практик</w:t>
            </w:r>
          </w:p>
        </w:tc>
        <w:tc>
          <w:tcPr>
            <w:tcW w:type="dxa" w:w="4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Расширение SEO-охвата и воронки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Блог (первые 5–10 статей)</w:t>
            </w:r>
          </w:p>
        </w:tc>
        <w:tc>
          <w:tcPr>
            <w:tcW w:type="dxa" w:w="4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Запуск SEO-продвижения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Регулярный контент + оптимизация</w:t>
            </w:r>
          </w:p>
        </w:tc>
        <w:tc>
          <w:tcPr>
            <w:tcW w:type="dxa" w:w="4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Масштабирование органического трафика</w:t>
            </w:r>
          </w:p>
        </w:tc>
      </w:tr>
    </w:tbl>
    <w:p>
      <w:pPr>
        <w:spacing w:after="60"/>
      </w:pPr>
    </w:p>
    <w:p>
      <w:pPr>
        <w:pBdr>
          <w:left w:val="single" w:color="2D5F8A" w:sz="12" w:space="8"/>
        </w:pBdr>
        <w:spacing w:before="100" w:after="100"/>
        <w:ind w:left="200"/>
      </w:pPr>
      <w:r>
        <w:rPr>
          <w:rFonts w:ascii="Arial" w:cs="Arial" w:eastAsia="Arial" w:hAnsi="Arial"/>
          <w:i/>
          <w:iCs/>
          <w:color w:val="2D5F8A"/>
          <w:sz w:val="22"/>
          <w:szCs w:val="22"/>
        </w:rPr>
        <w:t xml:space="preserve">Страницы практик (все 11 штук) — расписываются детально в отдельном документе.</w:t>
      </w:r>
    </w:p>
    <w:p>
      <w:pPr>
        <w:spacing w:after="60"/>
      </w:pPr>
    </w:p>
    <w:p>
      <w:pPr>
        <w:spacing w:after="60"/>
      </w:pP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Документ подготовлен для обсуждения и доработки.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Все элементы структуры могут быть скорректированы под ваши задачи.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Конфиденциально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5F8A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Структура сайта — Юридическая компания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5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2026-03-15T12:02:44.106Z</dcterms:created>
  <dcterms:modified xsi:type="dcterms:W3CDTF">2026-03-15T12:02:44.107Z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