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20A5C5"/>
          <w:sz w:val="20"/>
        </w:rPr>
        <w:t>ENTERPRISE AI WORKSPACE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16324F"/>
          <w:sz w:val="62"/>
        </w:rPr>
        <w:t>ComWorker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Microsoft YaHei"/>
          <w:b/>
          <w:i w:val="0"/>
          <w:color w:val="17212B"/>
          <w:sz w:val="44"/>
        </w:rPr>
        <w:t>企业功能说明书</w:t>
      </w:r>
    </w:p>
    <w:p>
      <w:pPr>
        <w:keepNext w:val="0"/>
        <w:spacing w:before="0" w:after="680" w:line="300" w:lineRule="auto"/>
        <w:jc w:val="center"/>
      </w:pPr>
      <w:r>
        <w:rPr>
          <w:rFonts w:ascii="Calibri" w:hAnsi="Calibri" w:eastAsia="Microsoft YaHei"/>
          <w:b w:val="0"/>
          <w:i w:val="0"/>
          <w:color w:val="137C9B"/>
          <w:sz w:val="25"/>
        </w:rPr>
        <w:t>统一治理 · 独立工作空间 · 可扩展智能能力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EAF6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>统一管理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7182"/>
                <w:sz w:val="16"/>
              </w:rPr>
              <w:t>账号 / 权限 / 能力</w:t>
            </w:r>
          </w:p>
        </w:tc>
        <w:tc>
          <w:tcPr>
            <w:tcW w:type="dxa" w:w="2340"/>
            <w:shd w:fill="EEF3F8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>运行隔离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7182"/>
                <w:sz w:val="16"/>
              </w:rPr>
              <w:t>独立或共享运行时</w:t>
            </w:r>
          </w:p>
        </w:tc>
        <w:tc>
          <w:tcPr>
            <w:tcW w:type="dxa" w:w="2340"/>
            <w:shd w:fill="EAF6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>业务增强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7182"/>
                <w:sz w:val="16"/>
              </w:rPr>
              <w:t>专家 / 技能 / 连接器</w:t>
            </w:r>
          </w:p>
        </w:tc>
        <w:tc>
          <w:tcPr>
            <w:tcW w:type="dxa" w:w="2340"/>
            <w:shd w:fill="EEF3F8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>持续运营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7182"/>
                <w:sz w:val="16"/>
              </w:rPr>
              <w:t>用量 / 审计 / API</w:t>
            </w:r>
          </w:p>
        </w:tc>
      </w:tr>
    </w:tbl>
    <w:p>
      <w:pPr>
        <w:keepNext w:val="0"/>
        <w:spacing w:before="840" w:after="100" w:line="300" w:lineRule="auto"/>
        <w:jc w:val="center"/>
      </w:pPr>
      <w:r>
        <w:rPr>
          <w:rFonts w:ascii="Calibri" w:hAnsi="Calibri" w:eastAsia="Microsoft YaHei"/>
          <w:b w:val="0"/>
          <w:i w:val="0"/>
          <w:color w:val="5F7182"/>
          <w:sz w:val="19"/>
        </w:rPr>
        <w:t>适用对象：企业管理者、信息化负责人、AI 平台管理员、实施与运维人员、业务使用者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5F7182"/>
          <w:sz w:val="19"/>
        </w:rPr>
        <w:t>文档版本：V1.0    编制日期：2026-08-25</w:t>
      </w:r>
    </w:p>
    <w:p>
      <w:r>
        <w:br w:type="page"/>
      </w:r>
    </w:p>
    <w:p>
      <w:pPr>
        <w:pStyle w:val="Heading1"/>
        <w:keepNext/>
      </w:pPr>
      <w:r>
        <w:t>阅读导览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FA"/>
            <w:tcBorders>
              <w:top w:val="single" w:sz="5" w:color="137C9B"/>
              <w:left w:val="single" w:sz="5" w:color="137C9B"/>
              <w:bottom w:val="single" w:sz="5" w:color="137C9B"/>
              <w:right w:val="single" w:sz="5" w:color="137C9B"/>
              <w:insideH w:val="single" w:sz="5" w:color="137C9B"/>
              <w:insideV w:val="single" w:sz="5" w:color="137C9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37C9B"/>
                <w:sz w:val="21"/>
              </w:rPr>
              <w:t xml:space="preserve">一句话定位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ComWorker 是面向团队与企业的 AI 助手平台：管理员统一配置账号、模型、能力与运行资源，员工在彼此隔离的工作空间中使用对话、知识库、技能、连接器、专家与自动任务。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本说明书回答什么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企业为什么需要统一的 AI 工作平台，而不是分散使用多个个人工具。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管理端如何完成账号、权限、模型、能力、运行实例、用量与审计治理。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客户端如何把 AI 对话、企业知识、业务工具和自动任务组合成可复用工作流。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企业如何在专属运行与共享运行之间选择，并形成可上线、可运维、可追溯的使用闭环。</w:t>
      </w:r>
    </w:p>
    <w:p>
      <w:pPr>
        <w:pStyle w:val="Heading2"/>
        <w:keepNext/>
      </w:pPr>
      <w:r>
        <w:t>章节结构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产品定位与企业价值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平台架构与管理边界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管理端功能说明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客户端功能说明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企业典型使用流程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安全、部署与运维</w:t>
      </w:r>
    </w:p>
    <w:p>
      <w:pPr>
        <w:pStyle w:val="ListNumber"/>
        <w:keepLines/>
        <w:numPr>
          <w:ilvl w:val="0"/>
          <w:numId w:val="10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应用场景与验收建议</w:t>
      </w:r>
    </w:p>
    <w:p>
      <w:pPr>
        <w:keepNext w:val="0"/>
        <w:spacing w:before="200" w:after="0" w:line="300" w:lineRule="auto"/>
      </w:pPr>
      <w:r>
        <w:rPr>
          <w:rFonts w:ascii="Calibri" w:hAnsi="Calibri" w:eastAsia="Microsoft YaHei"/>
          <w:b w:val="0"/>
          <w:i/>
          <w:color w:val="5F7182"/>
          <w:sz w:val="17"/>
        </w:rPr>
        <w:t>界面说明：文中截图来自当前前端代码在本地演示环境中的空状态页面，重点用于说明入口、布局和操作位置；实际数据、品牌 Logo、模型与连接器清单以企业部署配置为准。</w:t>
      </w:r>
    </w:p>
    <w:p>
      <w:r>
        <w:br w:type="page"/>
      </w:r>
    </w:p>
    <w:p>
      <w:pPr>
        <w:pStyle w:val="Heading1"/>
        <w:keepNext/>
      </w:pPr>
      <w:r>
        <w:t>1. 产品定位与企业价值</w:t>
      </w:r>
    </w:p>
    <w:p>
      <w:pPr>
        <w:pStyle w:val="Heading2"/>
        <w:keepNext/>
      </w:pPr>
      <w:r>
        <w:t>1.1 从个人工具升级为企业工作平台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企业引入生成式 AI 的核心难点通常不在“能否对话”，而在于账号是否可管、模型是否可控、知识是否可复用、工具是否可授权、执行是否可追踪，以及成本是否可度量。ComWorker 将这些能力放在统一平台中，实现管理端治理与客户端生产力的协同。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企业关注点</w:t>
            </w:r>
          </w:p>
        </w:tc>
        <w:tc>
          <w:tcPr>
            <w:tcW w:type="dxa" w:w="36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平台能力</w:t>
            </w:r>
          </w:p>
        </w:tc>
        <w:tc>
          <w:tcPr>
            <w:tcW w:type="dxa" w:w="39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管理价值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统一准入</w:t>
            </w:r>
          </w:p>
        </w:tc>
        <w:tc>
          <w:tcPr>
            <w:tcW w:type="dxa" w:w="36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管理员创建/批量导入账号，配置角色、配额与运行模式</w:t>
            </w:r>
          </w:p>
        </w:tc>
        <w:tc>
          <w:tcPr>
            <w:tcW w:type="dxa" w:w="3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避免个人账号散落，形成可持续运营的用户目录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模型治理</w:t>
            </w:r>
          </w:p>
        </w:tc>
        <w:tc>
          <w:tcPr>
            <w:tcW w:type="dxa" w:w="36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集中配置供应商、模型、默认项和可见范围</w:t>
            </w:r>
          </w:p>
        </w:tc>
        <w:tc>
          <w:tcPr>
            <w:tcW w:type="dxa" w:w="3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统一模型口径，降低密钥分散与配置偏差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能力治理</w:t>
            </w:r>
          </w:p>
        </w:tc>
        <w:tc>
          <w:tcPr>
            <w:tcW w:type="dxa" w:w="36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按平台默认、用户、配额层级批量配置技能与工具能力</w:t>
            </w:r>
          </w:p>
        </w:tc>
        <w:tc>
          <w:tcPr>
            <w:tcW w:type="dxa" w:w="3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让不同岗位获得恰当能力，减少过度授权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数据边界</w:t>
            </w:r>
          </w:p>
        </w:tc>
        <w:tc>
          <w:tcPr>
            <w:tcW w:type="dxa" w:w="36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每用户独立工作空间；支持 dedicated 与 shared 两类运行模式</w:t>
            </w:r>
          </w:p>
        </w:tc>
        <w:tc>
          <w:tcPr>
            <w:tcW w:type="dxa" w:w="3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兼顾隔离强度、资源成本和规模化部署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运营透明</w:t>
            </w:r>
          </w:p>
        </w:tc>
        <w:tc>
          <w:tcPr>
            <w:tcW w:type="dxa" w:w="36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用量统计、审计日志、容器状态与 Request-ID 追踪</w:t>
            </w:r>
          </w:p>
        </w:tc>
        <w:tc>
          <w:tcPr>
            <w:tcW w:type="dxa" w:w="3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支持成本分析、故障定位和责任追溯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企业能力闭环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3F8"/>
            <w:tcBorders>
              <w:top w:val="single" w:sz="5" w:color="16324F"/>
              <w:left w:val="single" w:sz="5" w:color="16324F"/>
              <w:bottom w:val="single" w:sz="5" w:color="16324F"/>
              <w:right w:val="single" w:sz="5" w:color="16324F"/>
              <w:insideH w:val="single" w:sz="5" w:color="16324F"/>
              <w:insideV w:val="single" w:sz="5" w:color="16324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 xml:space="preserve">治理闭环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管理员定义“谁能用、能用什么、如何运行、消耗多少”；员工完成“提出目标、调用知识与工具、生成结果、安排自动执行”；平台持续记录用量、运行状态与关键操作。</w:t>
            </w:r>
          </w:p>
        </w:tc>
      </w:tr>
    </w:tbl>
    <w:p>
      <w:pPr>
        <w:spacing w:after="20"/>
      </w:pP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标准化：把专家角色、技能和连接器做成平台目录，统一分发给团队。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个性化：用户在授权范围内配置自己的模型、知识、工具和工作习惯。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可扩展：通过 MCP 连接器、插件、技能与 API 接入现有业务系统。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可运营：用量、容器与审计形成平台管理员的日常运营视图。</w:t>
      </w:r>
    </w:p>
    <w:p>
      <w:r>
        <w:br w:type="page"/>
      </w:r>
    </w:p>
    <w:p>
      <w:pPr>
        <w:pStyle w:val="Heading1"/>
        <w:keepNext/>
      </w:pPr>
      <w:r>
        <w:t>2. 平台架构与管理边界</w:t>
      </w:r>
    </w:p>
    <w:p>
      <w:pPr>
        <w:pStyle w:val="Heading2"/>
        <w:keepNext/>
      </w:pPr>
      <w:r>
        <w:t>2.1 逻辑架构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3000"/>
        <w:gridCol w:w="3760"/>
      </w:tblGrid>
      <w:tr>
        <w:trPr/>
        <w:tc>
          <w:tcPr>
            <w:tcW w:type="dxa" w:w="2600"/>
            <w:shd w:fill="16324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使用入口</w:t>
            </w:r>
          </w:p>
        </w:tc>
        <w:tc>
          <w:tcPr>
            <w:tcW w:type="dxa" w:w="3000"/>
            <w:shd w:fill="16324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平台网关</w:t>
            </w:r>
          </w:p>
        </w:tc>
        <w:tc>
          <w:tcPr>
            <w:tcW w:type="dxa" w:w="3760"/>
            <w:shd w:fill="16324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运行与数据</w:t>
            </w:r>
          </w:p>
        </w:tc>
      </w:tr>
      <w:tr>
        <w:trPr/>
        <w:tc>
          <w:tcPr>
            <w:tcW w:type="dxa" w:w="260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管理后台</w:t>
            </w:r>
          </w:p>
        </w:tc>
        <w:tc>
          <w:tcPr>
            <w:tcW w:type="dxa" w:w="3000"/>
            <w:shd w:fill="EAF6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认证与角色</w:t>
            </w:r>
          </w:p>
        </w:tc>
        <w:tc>
          <w:tcPr>
            <w:tcW w:type="dxa" w:w="376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PostgreSQL</w:t>
            </w:r>
          </w:p>
        </w:tc>
      </w:tr>
      <w:tr>
        <w:trPr/>
        <w:tc>
          <w:tcPr>
            <w:tcW w:type="dxa" w:w="260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企业客户端</w:t>
            </w:r>
          </w:p>
        </w:tc>
        <w:tc>
          <w:tcPr>
            <w:tcW w:type="dxa" w:w="3000"/>
            <w:shd w:fill="EAF6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用户/配额/审计</w:t>
            </w:r>
          </w:p>
        </w:tc>
        <w:tc>
          <w:tcPr>
            <w:tcW w:type="dxa" w:w="376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用户独立工作区</w:t>
            </w:r>
          </w:p>
        </w:tc>
      </w:tr>
      <w:tr>
        <w:trPr/>
        <w:tc>
          <w:tcPr>
            <w:tcW w:type="dxa" w:w="260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企业消息渠道</w:t>
            </w:r>
          </w:p>
        </w:tc>
        <w:tc>
          <w:tcPr>
            <w:tcW w:type="dxa" w:w="3000"/>
            <w:shd w:fill="EAF6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LLM 代理与密钥注入</w:t>
            </w:r>
          </w:p>
        </w:tc>
        <w:tc>
          <w:tcPr>
            <w:tcW w:type="dxa" w:w="376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Dedicated 容器</w:t>
            </w:r>
          </w:p>
        </w:tc>
      </w:tr>
      <w:tr>
        <w:trPr/>
        <w:tc>
          <w:tcPr>
            <w:tcW w:type="dxa" w:w="260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外部系统 / API</w:t>
            </w:r>
          </w:p>
        </w:tc>
        <w:tc>
          <w:tcPr>
            <w:tcW w:type="dxa" w:w="3000"/>
            <w:shd w:fill="EAF6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9"/>
              </w:rPr>
              <w:t>能力与运行路由</w:t>
            </w:r>
          </w:p>
        </w:tc>
        <w:tc>
          <w:tcPr>
            <w:tcW w:type="dxa" w:w="3760"/>
            <w:shd w:fill="F6F8FA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9"/>
              </w:rPr>
              <w:t>Shared 运行时 + 逻辑隔离</w:t>
            </w:r>
          </w:p>
        </w:tc>
      </w:tr>
    </w:tbl>
    <w:p>
      <w:pPr>
        <w:keepNext w:val="0"/>
        <w:spacing w:before="0" w:after="200" w:line="300" w:lineRule="auto"/>
      </w:pPr>
      <w:r>
        <w:rPr>
          <w:rFonts w:ascii="Calibri" w:hAnsi="Calibri" w:eastAsia="Microsoft YaHei"/>
          <w:b w:val="0"/>
          <w:i/>
          <w:color w:val="5F7182"/>
          <w:sz w:val="18"/>
        </w:rPr>
        <w:t>信息流：员工或外部系统从入口发起请求，平台网关完成身份校验、运行模式选择、模型/能力路由和用量记录，再把任务发送到该用户所属的运行环境。</w:t>
      </w:r>
    </w:p>
    <w:p>
      <w:pPr>
        <w:pStyle w:val="Heading2"/>
        <w:keepNext/>
      </w:pPr>
      <w:r>
        <w:t>2.2 Dedicated 与 Shared 两类运行模式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维度</w:t>
            </w:r>
          </w:p>
        </w:tc>
        <w:tc>
          <w:tcPr>
            <w:tcW w:type="dxa" w:w="383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Dedicated 专属运行</w:t>
            </w:r>
          </w:p>
        </w:tc>
        <w:tc>
          <w:tcPr>
            <w:tcW w:type="dxa" w:w="383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Shared 共享运行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资源形态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每个用户对应独立 Hermes Agent 容器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多用户共享运行时，按用户映射独立 Agent 与工作区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隔离强度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容器、进程与工作目录隔离更直观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以账号、Agent、会话与工作区进行逻辑隔离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适用对象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高敏感岗位、重任务用户、需专属依赖或长期运行的团队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规模化普及、轻量使用、成本敏感场景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管理动作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可查看、暂停、恢复、销毁、重建专属容器</w:t>
            </w:r>
          </w:p>
        </w:tc>
        <w:tc>
          <w:tcPr>
            <w:tcW w:type="dxa" w:w="383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平台统一维护共享运行时，关注租户映射与容量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5E8"/>
            <w:tcBorders>
              <w:top w:val="single" w:sz="5" w:color="A66A16"/>
              <w:left w:val="single" w:sz="5" w:color="A66A16"/>
              <w:bottom w:val="single" w:sz="5" w:color="A66A16"/>
              <w:right w:val="single" w:sz="5" w:color="A66A16"/>
              <w:insideH w:val="single" w:sz="5" w:color="A66A16"/>
              <w:insideV w:val="single" w:sz="5" w:color="A66A1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A66A16"/>
                <w:sz w:val="21"/>
              </w:rPr>
              <w:t xml:space="preserve">管理建议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企业可按岗位风险和工作负载分层：核心研发、数据分析等采用 Dedicated；通用办公与轻量问答采用 Shared，并通过配额与能力策略控制资源。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管理端功能说明</w:t>
      </w:r>
    </w:p>
    <w:p>
      <w:pPr>
        <w:pStyle w:val="Heading2"/>
        <w:keepNext/>
      </w:pPr>
      <w:r>
        <w:t>3.1 管理端总览与仪表盘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管理后台是企业 AI 平台的统一控制面。左侧导航聚合十二类管理入口，首页以总用户数、活跃容器和今日 Token 用量呈现核心运营指标，管理员可从整体状态快速进入专项管理。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 descr="图 1  管理端仪表盘与统一治理导航（本地演示空状态）" title="图 1  管理端仪表盘与统一治理导航（本地演示空状态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-current.png"/>
                    <pic:cNvPicPr/>
                  </pic:nvPicPr>
                  <pic:blipFill>
                    <a:blip r:embed="rId11"/>
                    <a:srcRect b="700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1  管理端仪表盘与统一治理导航（本地演示空状态）</w:t>
      </w:r>
    </w:p>
    <w:p>
      <w:pPr>
        <w:pStyle w:val="Heading3"/>
        <w:keepNext/>
      </w:pPr>
      <w:r>
        <w:t>可管理范围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管理域</w:t>
            </w:r>
          </w:p>
        </w:tc>
        <w:tc>
          <w:tcPr>
            <w:tcW w:type="dxa" w:w="2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主要入口</w:t>
            </w:r>
          </w:p>
        </w:tc>
        <w:tc>
          <w:tcPr>
            <w:tcW w:type="dxa" w:w="49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企业用途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组织与资源</w:t>
            </w:r>
          </w:p>
        </w:tc>
        <w:tc>
          <w:tcPr>
            <w:tcW w:type="dxa" w:w="2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用户、容器、用量</w:t>
            </w:r>
          </w:p>
        </w:tc>
        <w:tc>
          <w:tcPr>
            <w:tcW w:type="dxa" w:w="4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管控账号生命周期、运行资源和消耗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AI 能力</w:t>
            </w:r>
          </w:p>
        </w:tc>
        <w:tc>
          <w:tcPr>
            <w:tcW w:type="dxa" w:w="2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模型、能力、技能、专家</w:t>
            </w:r>
          </w:p>
        </w:tc>
        <w:tc>
          <w:tcPr>
            <w:tcW w:type="dxa" w:w="4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统一 AI 底座与岗位能力包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业务连接</w:t>
            </w:r>
          </w:p>
        </w:tc>
        <w:tc>
          <w:tcPr>
            <w:tcW w:type="dxa" w:w="2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连接器、API 访问</w:t>
            </w:r>
          </w:p>
        </w:tc>
        <w:tc>
          <w:tcPr>
            <w:tcW w:type="dxa" w:w="4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接入内部系统与自动化流程</w:t>
            </w:r>
          </w:p>
        </w:tc>
      </w:tr>
      <w:tr>
        <w:trPr/>
        <w:tc>
          <w:tcPr>
            <w:tcW w:type="dxa" w:w="19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平台运营</w:t>
            </w:r>
          </w:p>
        </w:tc>
        <w:tc>
          <w:tcPr>
            <w:tcW w:type="dxa" w:w="2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平台配置、审计日志</w:t>
            </w:r>
          </w:p>
        </w:tc>
        <w:tc>
          <w:tcPr>
            <w:tcW w:type="dxa" w:w="49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统一品牌、安全追踪与日常运维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3.2 用户全生命周期管理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用户管理覆盖开通、导入、搜索、启停、配额、运行模式和能力热应用；用户详情进一步集中展示账号、技能、专家、连接器、知识库、模型与容器信息，便于按人排查和运营。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 descr="图 2  用户管理：搜索、添加、批量导入、批量启停与热应用" title="图 2  用户管理：搜索、添加、批量导入、批量启停与热应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2"/>
                    <a:srcRect b="700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2  用户管理：搜索、添加、批量导入、批量启停与热应用</w:t>
      </w:r>
    </w:p>
    <w:p>
      <w:pPr>
        <w:pStyle w:val="Heading3"/>
        <w:keepNext/>
      </w:pPr>
      <w:r>
        <w:t>关键功能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单个创建与 CSV 批量导入：支持用户名、邮箱、密码、角色、配额层级和运行模式字段。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初始口令治理：系统可生成初始口令，并要求用户首次登录后修改。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账号状态控制：可启用或禁用用户，适用于入转调离和临时冻结。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分级配额：支持 free、basic、pro 等配额档位，LLM 代理在调用前检查当日 Token 限额。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用户级能力：可查看或调整模型可见性、技能、专家、连接器和能力配置。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数据与运行维护：可查看数据足迹、知识文档、容器状态，并执行备份、恢复、重启、重建或销毁等操作。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3F8"/>
            <w:tcBorders>
              <w:top w:val="single" w:sz="5" w:color="16324F"/>
              <w:left w:val="single" w:sz="5" w:color="16324F"/>
              <w:bottom w:val="single" w:sz="5" w:color="16324F"/>
              <w:right w:val="single" w:sz="5" w:color="16324F"/>
              <w:insideH w:val="single" w:sz="5" w:color="16324F"/>
              <w:insideV w:val="single" w:sz="5" w:color="16324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 xml:space="preserve">企业管理重点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建议将“账号状态 + 角色 + 配额 + 运行模式 + 能力包”定义为岗位模板，并在员工入职、转岗、离职时同步调整。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3.3 容器与运行实例管理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平台记录用户容器的 Docker ID、状态、内部地址与镜像信息。管理员可同步实际运行状态，并按需暂停、恢复或销毁实例；在用户详情中还可执行保留数据重建、完整清理、备份和恢复。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动作</w:t>
            </w:r>
          </w:p>
        </w:tc>
        <w:tc>
          <w:tcPr>
            <w:tcW w:type="dxa" w:w="3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适用场景</w:t>
            </w:r>
          </w:p>
        </w:tc>
        <w:tc>
          <w:tcPr>
            <w:tcW w:type="dxa" w:w="40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管理效果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刷新/同步状态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容器状态与数据库记录不一致</w:t>
            </w:r>
          </w:p>
        </w:tc>
        <w:tc>
          <w:tcPr>
            <w:tcW w:type="dxa" w:w="40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从 Docker 侧校准平台展示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暂停/恢复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暂时停用或节省空闲资源</w:t>
            </w:r>
          </w:p>
        </w:tc>
        <w:tc>
          <w:tcPr>
            <w:tcW w:type="dxa" w:w="40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保留数据并控制计算资源占用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保留数据重建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镜像升级、运行异常、配置需重新注入</w:t>
            </w:r>
          </w:p>
        </w:tc>
        <w:tc>
          <w:tcPr>
            <w:tcW w:type="dxa" w:w="40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重建运行环境并保留持久数据卷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销毁并清理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用户离职或明确执行数据清理</w:t>
            </w:r>
          </w:p>
        </w:tc>
        <w:tc>
          <w:tcPr>
            <w:tcW w:type="dxa" w:w="40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移除容器及相关数据，应纳入审批流程</w:t>
            </w:r>
          </w:p>
        </w:tc>
      </w:tr>
      <w:tr>
        <w:trPr/>
        <w:tc>
          <w:tcPr>
            <w:tcW w:type="dxa" w:w="18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备份/恢复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迁移、升级或重大变更前后</w:t>
            </w:r>
          </w:p>
        </w:tc>
        <w:tc>
          <w:tcPr>
            <w:tcW w:type="dxa" w:w="40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降低配置与知识数据丢失风险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运行维护原则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优先采用暂停、备份和保留数据重建，销毁并清理仅在审批后执行。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镜像升级前记录容器状态、数据卷和用户运行模式，升级后逐项核验。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容器异常先同步实际状态，再结合审计日志与 Request-ID 定位问题。</w:t>
      </w:r>
    </w:p>
    <w:p>
      <w:r>
        <w:br w:type="page"/>
      </w:r>
    </w:p>
    <w:p>
      <w:pPr>
        <w:pStyle w:val="Heading2"/>
        <w:keepNext/>
      </w:pPr>
      <w:r>
        <w:t>3.4 模型配置与成本治理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模型配置用于维护平台允许使用的供应商、协议、Base URL、API Key、模型清单和默认模型。管理员可在保存前发起连接测试；只有启用且已配置密钥的模型才应面向用户开放。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 descr="图 3  模型供应商、默认模型与连接测试配置入口" title="图 3  模型供应商、默认模型与连接测试配置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odels.png"/>
                    <pic:cNvPicPr/>
                  </pic:nvPicPr>
                  <pic:blipFill>
                    <a:blip r:embed="rId13"/>
                    <a:srcRect b="700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3  模型供应商、默认模型与连接测试配置入口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治理层级</w:t>
            </w:r>
          </w:p>
        </w:tc>
        <w:tc>
          <w:tcPr>
            <w:tcW w:type="dxa" w:w="72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功能说明</w:t>
            </w:r>
          </w:p>
        </w:tc>
      </w:tr>
      <w:tr>
        <w:trPr/>
        <w:tc>
          <w:tcPr>
            <w:tcW w:type="dxa" w:w="2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平台默认</w:t>
            </w:r>
          </w:p>
        </w:tc>
        <w:tc>
          <w:tcPr>
            <w:tcW w:type="dxa" w:w="72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设定全平台可用模型和默认选择，保证用户开箱可用</w:t>
            </w:r>
          </w:p>
        </w:tc>
      </w:tr>
      <w:tr>
        <w:trPr/>
        <w:tc>
          <w:tcPr>
            <w:tcW w:type="dxa" w:w="2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用户可见性</w:t>
            </w:r>
          </w:p>
        </w:tc>
        <w:tc>
          <w:tcPr>
            <w:tcW w:type="dxa" w:w="72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按用户允许或禁用供应商，并可指定用户默认模型</w:t>
            </w:r>
          </w:p>
        </w:tc>
      </w:tr>
      <w:tr>
        <w:trPr/>
        <w:tc>
          <w:tcPr>
            <w:tcW w:type="dxa" w:w="2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密钥保护</w:t>
            </w:r>
          </w:p>
        </w:tc>
        <w:tc>
          <w:tcPr>
            <w:tcW w:type="dxa" w:w="72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模型 API Key 由平台保存，数据库中的模型密钥支持主密钥加密存储</w:t>
            </w:r>
          </w:p>
        </w:tc>
      </w:tr>
      <w:tr>
        <w:trPr/>
        <w:tc>
          <w:tcPr>
            <w:tcW w:type="dxa" w:w="2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成本记录</w:t>
            </w:r>
          </w:p>
        </w:tc>
        <w:tc>
          <w:tcPr>
            <w:tcW w:type="dxa" w:w="72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记录输入、输出与总 Token，可按日期、用户、模型和供应商聚合</w:t>
            </w:r>
          </w:p>
        </w:tc>
      </w:tr>
      <w:tr>
        <w:trPr/>
        <w:tc>
          <w:tcPr>
            <w:tcW w:type="dxa" w:w="2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连通性验证</w:t>
            </w:r>
          </w:p>
        </w:tc>
        <w:tc>
          <w:tcPr>
            <w:tcW w:type="dxa" w:w="72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通过与客户端一致的模型测试接口验证地址、协议、密钥和模型 ID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3.5 能力、技能、连接器与专家治理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这四类对象共同组成企业的“AI 能力目录”：能力定义底层工具集，技能封装可复用方法，连接器接入业务系统，专家固化角色与专业提示词。管理员可设置平台默认，也可面向全部用户、指定用户或配额层级进行分发。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对象</w:t>
            </w:r>
          </w:p>
        </w:tc>
        <w:tc>
          <w:tcPr>
            <w:tcW w:type="dxa" w:w="42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管理员可执行操作</w:t>
            </w:r>
          </w:p>
        </w:tc>
        <w:tc>
          <w:tcPr>
            <w:tcW w:type="dxa" w:w="36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典型企业用途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能力配置</w:t>
            </w:r>
          </w:p>
        </w:tc>
        <w:tc>
          <w:tcPr>
            <w:tcW w:type="dxa" w:w="4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维护能力注册表与默认注入；按用户/档位批量启停；热应用或随新容器生效</w:t>
            </w:r>
          </w:p>
        </w:tc>
        <w:tc>
          <w:tcPr>
            <w:tcW w:type="dxa" w:w="3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联网搜索、文件、浏览器或其他工具集的最小权限控制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技能管理</w:t>
            </w:r>
          </w:p>
        </w:tc>
        <w:tc>
          <w:tcPr>
            <w:tcW w:type="dxa" w:w="4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浏览内置与自建技能；上传 ZIP；编辑；默认安装；推送、指派、卸载</w:t>
            </w:r>
          </w:p>
        </w:tc>
        <w:tc>
          <w:tcPr>
            <w:tcW w:type="dxa" w:w="3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把制度、SOP、分析方法和写作模板沉淀为统一技能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连接器管理</w:t>
            </w:r>
          </w:p>
        </w:tc>
        <w:tc>
          <w:tcPr>
            <w:tcW w:type="dxa" w:w="4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新建/编辑目录；配置 none、shared、api_key、oauth、cli 等凭证策略；默认或强制安装</w:t>
            </w:r>
          </w:p>
        </w:tc>
        <w:tc>
          <w:tcPr>
            <w:tcW w:type="dxa" w:w="3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连接 CRM、文档、研发平台、数据服务和内部 API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专家管理</w:t>
            </w:r>
          </w:p>
        </w:tc>
        <w:tc>
          <w:tcPr>
            <w:tcW w:type="dxa" w:w="4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创建显示名称、描述、头像和 SOUL；推送全部或指定用户</w:t>
            </w:r>
          </w:p>
        </w:tc>
        <w:tc>
          <w:tcPr>
            <w:tcW w:type="dxa" w:w="3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固化 HR、销售、研发、法务等岗位助手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连接器凭证边界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shared：平台持有共享凭证，适合企业统一采购或统一服务账号。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api_key：用户填写个人密钥，可在平台共享密钥不可用时采用用户级凭证。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oauth：用户在自己的工作空间内完成授权，适合个人账号数据访问。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cli：通过命令行安装与授权，适合需要本地 CLI 登录态的工具。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none：无需凭证，直接注入标准连接配置。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5E8"/>
            <w:tcBorders>
              <w:top w:val="single" w:sz="5" w:color="A66A16"/>
              <w:left w:val="single" w:sz="5" w:color="A66A16"/>
              <w:bottom w:val="single" w:sz="5" w:color="A66A16"/>
              <w:right w:val="single" w:sz="5" w:color="A66A16"/>
              <w:insideH w:val="single" w:sz="5" w:color="A66A16"/>
              <w:insideV w:val="single" w:sz="5" w:color="A66A1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A66A16"/>
                <w:sz w:val="21"/>
              </w:rPr>
              <w:t xml:space="preserve">治理建议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连接器默认遵循最小权限原则：平台仅上架通过评审的连接器；共享凭证限定服务范围；个人凭证不在界面回显明文；高风险工具按用户单独授权。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3.6 API、平台配置、用量与审计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模块</w:t>
            </w:r>
          </w:p>
        </w:tc>
        <w:tc>
          <w:tcPr>
            <w:tcW w:type="dxa" w:w="44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功能说明</w:t>
            </w:r>
          </w:p>
        </w:tc>
        <w:tc>
          <w:tcPr>
            <w:tcW w:type="dxa" w:w="34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企业价值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API 访问</w:t>
            </w:r>
          </w:p>
        </w:tc>
        <w:tc>
          <w:tcPr>
            <w:tcW w:type="dxa" w:w="4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生成长期 API Token，提供会话发送、运行轮询与继续对话示例</w:t>
            </w:r>
          </w:p>
        </w:tc>
        <w:tc>
          <w:tcPr>
            <w:tcW w:type="dxa" w:w="3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将 Agent 能力嵌入门户、流程平台或业务应用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平台配置</w:t>
            </w:r>
          </w:p>
        </w:tc>
        <w:tc>
          <w:tcPr>
            <w:tcW w:type="dxa" w:w="4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配置平台 Logo 等品牌项，刷新客户端后生效</w:t>
            </w:r>
          </w:p>
        </w:tc>
        <w:tc>
          <w:tcPr>
            <w:tcW w:type="dxa" w:w="3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形成企业统一入口与品牌识别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用量统计</w:t>
            </w:r>
          </w:p>
        </w:tc>
        <w:tc>
          <w:tcPr>
            <w:tcW w:type="dxa" w:w="4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查看总量、日期趋势，以及按用户、模型、供应商的 Token 聚合</w:t>
            </w:r>
          </w:p>
        </w:tc>
        <w:tc>
          <w:tcPr>
            <w:tcW w:type="dxa" w:w="3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预算核算、异常发现与模型策略优化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审计日志</w:t>
            </w:r>
          </w:p>
        </w:tc>
        <w:tc>
          <w:tcPr>
            <w:tcW w:type="dxa" w:w="4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记录登录、LLM 调用、容器创建/暂停/销毁等操作；可按用户、操作和 Request-ID 过滤</w:t>
            </w:r>
          </w:p>
        </w:tc>
        <w:tc>
          <w:tcPr>
            <w:tcW w:type="dxa" w:w="3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安全审查、故障定位和责任追溯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推荐的管理员日常例行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每日：关注活跃容器、今日 Token、异常任务与失败审计。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每周：复核高用量用户/模型、连接器授权、停用账号和运行实例健康度。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每月：评估配额档位、能力目录、模型成本、技能采用率与备份可恢复性。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重大变更前：备份关键用户数据，验证模型连接，分批热应用或重建容器。</w:t>
      </w:r>
    </w:p>
    <w:p>
      <w:r>
        <w:br w:type="page"/>
      </w:r>
    </w:p>
    <w:p>
      <w:pPr>
        <w:pStyle w:val="Heading1"/>
        <w:keepNext/>
      </w:pPr>
      <w:r>
        <w:t>4. 客户端功能说明</w:t>
      </w:r>
    </w:p>
    <w:p>
      <w:pPr>
        <w:pStyle w:val="Heading2"/>
        <w:keepNext/>
      </w:pPr>
      <w:r>
        <w:t>4.1 登录与个人工作台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客户端面向业务使用者。账号由管理员统一分配，登录后进入个人 AI 工作空间。工作台提供新对话、知识库、技能、连接器、专家、渠道与插件等入口，并在底部集中个人设置与退出操作。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 descr="图 4  客户端登录入口：企业账号统一分配" title="图 4  客户端登录入口：企业账号统一分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login-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4  客户端登录入口：企业账号统一分配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 descr="图 5  客户端工作台与主要功能导航" title="图 5  客户端工作台与主要功能导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dashboard-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5  客户端工作台与主要功能导航</w:t>
      </w:r>
    </w:p>
    <w:p>
      <w:r>
        <w:br w:type="page"/>
      </w:r>
    </w:p>
    <w:p>
      <w:pPr>
        <w:pStyle w:val="Heading2"/>
        <w:keepNext/>
      </w:pPr>
      <w:r>
        <w:t>4.2 AI 对话与多 Agent 协作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对话是客户端的核心入口。用户可新建、切换、重命名和删除会话，并选择不同专家/Agent 处理任务。对话过程中可以附加技能、连接器和知识上下文，查看工具执行活动，并在敏感操作前完成授权确认。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 descr="图 6  对话工作区：会话历史、专家分组与新建对话" title="图 6  对话工作区：会话历史、专家分组与新建对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6  对话工作区：会话历史、专家分组与新建对话</w:t>
      </w:r>
    </w:p>
    <w:p>
      <w:pPr>
        <w:pStyle w:val="Heading3"/>
        <w:keepNext/>
      </w:pPr>
      <w:r>
        <w:t>主要能力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多 Agent：系统预置通用、管理、编程、调研、HR、医疗等角色，也支持企业自定义专家。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上下文选择：可在对话中选择专家、技能和连接器，明确本轮任务可调用的能力。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过程可见：以活动卡片展示工具开始、完成、失败、授权和输出状态。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结果呈现：支持 Markdown、表格、代码、文件与知识文档阅读面板。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会话管理：保留历史记录和更新时间，支持未读提示、重命名、复制会话 ID 与删除。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3F8"/>
            <w:tcBorders>
              <w:top w:val="single" w:sz="5" w:color="16324F"/>
              <w:left w:val="single" w:sz="5" w:color="16324F"/>
              <w:bottom w:val="single" w:sz="5" w:color="16324F"/>
              <w:right w:val="single" w:sz="5" w:color="16324F"/>
              <w:insideH w:val="single" w:sz="5" w:color="16324F"/>
              <w:insideV w:val="single" w:sz="5" w:color="16324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6324F"/>
                <w:sz w:val="21"/>
              </w:rPr>
              <w:t xml:space="preserve">企业使用方式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将日常问答升级为“目标 + 企业知识 + 岗位专家 + 业务工具”的组合。例如，销售专家读取产品知识并调用 CRM，输出客户纪要后再创建跟进任务。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4.3 知识库与企业知识复用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知识库以 Markdown 文档和文件夹组织用户或 Agent 的长期资料，支持新建、编辑、删除、搜索、预览、元数据、反向链接和知识图谱。对话时可召回相关知识，使回答更贴近企业制度、产品资料和项目上下文。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能力</w:t>
            </w:r>
          </w:p>
        </w:tc>
        <w:tc>
          <w:tcPr>
            <w:tcW w:type="dxa" w:w="3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用户操作</w:t>
            </w:r>
          </w:p>
        </w:tc>
        <w:tc>
          <w:tcPr>
            <w:tcW w:type="dxa" w:w="41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企业应用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结构化管理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按文件夹和文档维护知识，使用标题、标签、摘要等元数据</w:t>
            </w:r>
          </w:p>
        </w:tc>
        <w:tc>
          <w:tcPr>
            <w:tcW w:type="dxa" w:w="4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沉淀制度、产品、项目和客户资料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检索与预览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搜索文档并在阅读面板查看内容</w:t>
            </w:r>
          </w:p>
        </w:tc>
        <w:tc>
          <w:tcPr>
            <w:tcW w:type="dxa" w:w="4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快速定位可信资料，减少重复询问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关联关系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查看反链和知识图谱</w:t>
            </w:r>
          </w:p>
        </w:tc>
        <w:tc>
          <w:tcPr>
            <w:tcW w:type="dxa" w:w="4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发现资料之间的引用和主题关系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对话召回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让 Agent 在任务中参考知识库</w:t>
            </w:r>
          </w:p>
        </w:tc>
        <w:tc>
          <w:tcPr>
            <w:tcW w:type="dxa" w:w="4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提高回答一致性和业务相关性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管理员协助</w:t>
            </w:r>
          </w:p>
        </w:tc>
        <w:tc>
          <w:tcPr>
            <w:tcW w:type="dxa" w:w="3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管理员可在用户详情中查看、搜索、上传和维护知识</w:t>
            </w:r>
          </w:p>
        </w:tc>
        <w:tc>
          <w:tcPr>
            <w:tcW w:type="dxa" w:w="4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支持实施初始化、问题排查和受控运营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技能、连接器与插件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扩展方式</w:t>
            </w:r>
          </w:p>
        </w:tc>
        <w:tc>
          <w:tcPr>
            <w:tcW w:type="dxa" w:w="4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客户端能力</w:t>
            </w:r>
          </w:p>
        </w:tc>
        <w:tc>
          <w:tcPr>
            <w:tcW w:type="dxa" w:w="33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边界说明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技能</w:t>
            </w:r>
          </w:p>
        </w:tc>
        <w:tc>
          <w:tcPr>
            <w:tcW w:type="dxa" w:w="4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浏览内置/全局/Agent 技能；启停；上传下载；编辑文件；从市场或 Git 仓库导入</w:t>
            </w:r>
          </w:p>
        </w:tc>
        <w:tc>
          <w:tcPr>
            <w:tcW w:type="dxa" w:w="33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托管技能由管理员统一分发，个人技能在授权范围内维护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连接器</w:t>
            </w:r>
          </w:p>
        </w:tc>
        <w:tc>
          <w:tcPr>
            <w:tcW w:type="dxa" w:w="4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启用平台连接器、填写凭证、查看示例话术；添加自定义 MCP Server</w:t>
            </w:r>
          </w:p>
        </w:tc>
        <w:tc>
          <w:tcPr>
            <w:tcW w:type="dxa" w:w="33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支持 stdio、HTTP、SSE 等连接方式；可区分平台与个人连接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插件</w:t>
            </w:r>
          </w:p>
        </w:tc>
        <w:tc>
          <w:tcPr>
            <w:tcW w:type="dxa" w:w="4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查看插件提供的 Agent、命令与技能，并执行安装、启用或卸载</w:t>
            </w:r>
          </w:p>
        </w:tc>
        <w:tc>
          <w:tcPr>
            <w:tcW w:type="dxa" w:w="33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插件可扩展渠道和运行能力，企业应先评审来源与权限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4.5 专家与渠道接入</w:t>
      </w:r>
    </w:p>
    <w:p>
      <w:pPr>
        <w:pStyle w:val="Heading3"/>
        <w:keepNext/>
      </w:pPr>
      <w:r>
        <w:t>专家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专家是可复用的业务角色。用户可浏览专家列表、查看介绍并直接发起对话；管理员可通过显示名称、描述、头像和系统提示词统一塑造专家能力，再按全员或指定人群分发。</w:t>
      </w:r>
    </w:p>
    <w:p>
      <w:pPr>
        <w:pStyle w:val="Heading3"/>
        <w:keepNext/>
      </w:pPr>
      <w:r>
        <w:t>企业消息渠道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客户端提供渠道配置入口，可将 AI 能力延伸到员工日常使用的沟通工具。当前界面目录包含企业微信、钉钉、飞书/Lark、Microsoft Teams、Slack、微信、Telegram、Discord、WhatsApp 等多类渠道；具体可用性取决于插件、部署环境与第三方凭证。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控制项</w:t>
            </w:r>
          </w:p>
        </w:tc>
        <w:tc>
          <w:tcPr>
            <w:tcW w:type="dxa" w:w="71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说明</w:t>
            </w:r>
          </w:p>
        </w:tc>
      </w:tr>
      <w:tr>
        <w:trPr/>
        <w:tc>
          <w:tcPr>
            <w:tcW w:type="dxa" w:w="2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私聊策略</w:t>
            </w:r>
          </w:p>
        </w:tc>
        <w:tc>
          <w:tcPr>
            <w:tcW w:type="dxa" w:w="7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支持 pairing、allowlist、open、disabled 等模式，控制谁能私聊机器人</w:t>
            </w:r>
          </w:p>
        </w:tc>
      </w:tr>
      <w:tr>
        <w:trPr/>
        <w:tc>
          <w:tcPr>
            <w:tcW w:type="dxa" w:w="2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群聊策略</w:t>
            </w:r>
          </w:p>
        </w:tc>
        <w:tc>
          <w:tcPr>
            <w:tcW w:type="dxa" w:w="7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支持开放、白名单或禁用群聊，并可维护允许的群组</w:t>
            </w:r>
          </w:p>
        </w:tc>
      </w:tr>
      <w:tr>
        <w:trPr/>
        <w:tc>
          <w:tcPr>
            <w:tcW w:type="dxa" w:w="2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消息输出</w:t>
            </w:r>
          </w:p>
        </w:tc>
        <w:tc>
          <w:tcPr>
            <w:tcW w:type="dxa" w:w="7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可按渠道设置关闭、部分、分块或进度式流式输出</w:t>
            </w:r>
          </w:p>
        </w:tc>
      </w:tr>
      <w:tr>
        <w:trPr/>
        <w:tc>
          <w:tcPr>
            <w:tcW w:type="dxa" w:w="2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账号与状态</w:t>
            </w:r>
          </w:p>
        </w:tc>
        <w:tc>
          <w:tcPr>
            <w:tcW w:type="dxa" w:w="7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保存渠道凭证，查看 configured、linked、running、connected 和最近错误等状态</w:t>
            </w:r>
          </w:p>
        </w:tc>
      </w:tr>
      <w:tr>
        <w:trPr/>
        <w:tc>
          <w:tcPr>
            <w:tcW w:type="dxa" w:w="22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企业定制</w:t>
            </w:r>
          </w:p>
        </w:tc>
        <w:tc>
          <w:tcPr>
            <w:tcW w:type="dxa" w:w="71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不同渠道可配置 Bot Token、App ID、Secret、Webhook、Tenant、Agent ID 等字段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0F0"/>
            <w:tcBorders>
              <w:top w:val="single" w:sz="5" w:color="A33A3A"/>
              <w:left w:val="single" w:sz="5" w:color="A33A3A"/>
              <w:bottom w:val="single" w:sz="5" w:color="A33A3A"/>
              <w:right w:val="single" w:sz="5" w:color="A33A3A"/>
              <w:insideH w:val="single" w:sz="5" w:color="A33A3A"/>
              <w:insideV w:val="single" w:sz="5" w:color="A33A3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A33A3A"/>
                <w:sz w:val="21"/>
              </w:rPr>
              <w:t xml:space="preserve">安全提示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生产环境应优先采用白名单或配对策略，限制群聊范围，定期检查授权账号、Webhook 与 Bot 密钥；不建议把高权限工具开放给公共群组。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4.6 个人模型、定时任务与设置</w:t>
      </w:r>
    </w:p>
    <w:p>
      <w:pPr>
        <w:pStyle w:val="Heading3"/>
        <w:keepNext/>
      </w:pPr>
      <w:r>
        <w:t>个人模型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用户可在管理员允许的范围内配置模型供应商、API 协议、Base URL、密钥、模型清单和默认模型。界面支持 OpenAI Completions、OpenAI Responses、Anthropic Messages、Google Generative AI、Ollama、AWS Bedrock 等协议类型，并可执行连接测试。</w:t>
      </w:r>
    </w:p>
    <w:p>
      <w:pPr>
        <w:pStyle w:val="Heading3"/>
        <w:keepNext/>
      </w:pPr>
      <w:r>
        <w:t>定时任务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定时任务让 Agent 按固定间隔、Cron 表达式或单次时间自动执行。用户可新建、启停、手动触发和删除任务；执行结果进入对应会话，并通过未读状态提醒用户。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 descr="图 7  定时任务：固定间隔、Cron 与单次执行入口" title="图 7  定时任务：固定间隔、Cron 与单次执行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cr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Calibri" w:hAnsi="Calibri" w:eastAsia="Microsoft YaHei"/>
          <w:i/>
          <w:color w:val="5F7182"/>
          <w:sz w:val="17"/>
        </w:rPr>
        <w:t>图 7  定时任务：固定间隔、Cron 与单次执行入口</w:t>
      </w:r>
    </w:p>
    <w:p>
      <w:pPr>
        <w:pStyle w:val="Heading3"/>
        <w:keepNext/>
      </w:pPr>
      <w:r>
        <w:t>个人设置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外观：浅色、深色或跟随系统，并可选择舒适/紧凑密度。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系统状态：查看网关状态、容器信息、端口和运行实例标识。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账户：查看当前用户信息，按平台要求完成初始密码修改。</w:t>
      </w:r>
    </w:p>
    <w:p>
      <w:r>
        <w:br w:type="page"/>
      </w:r>
    </w:p>
    <w:p>
      <w:pPr>
        <w:pStyle w:val="Heading1"/>
        <w:keepNext/>
      </w:pPr>
      <w:r>
        <w:t>5. 企业典型使用流程</w:t>
      </w:r>
    </w:p>
    <w:p>
      <w:pPr>
        <w:pStyle w:val="Heading2"/>
        <w:keepNext/>
      </w:pPr>
      <w:r>
        <w:t>5.1 平台首次上线</w:t>
      </w:r>
    </w:p>
    <w:p>
      <w:pPr>
        <w:pStyle w:val="ListNumber"/>
        <w:keepLines/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部署平台组件并初始化管理员账号、JWT 密钥和模型密钥主密钥。</w:t>
      </w:r>
    </w:p>
    <w:p>
      <w:pPr>
        <w:pStyle w:val="ListNumber"/>
        <w:keepLines/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登录管理后台，配置企业 Logo、模型供应商、默认模型和基础能力。</w:t>
      </w:r>
    </w:p>
    <w:p>
      <w:pPr>
        <w:pStyle w:val="ListNumber"/>
        <w:keepLines/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按岗位规划运行模式与配额档位，创建用户或导入用户清单。</w:t>
      </w:r>
    </w:p>
    <w:p>
      <w:pPr>
        <w:pStyle w:val="ListNumber"/>
        <w:keepLines/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上架通过评审的技能、连接器和专家，并设置默认安装或指定分发。</w:t>
      </w:r>
    </w:p>
    <w:p>
      <w:pPr>
        <w:pStyle w:val="ListNumber"/>
        <w:keepLines/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选择试点用户，验证登录、对话、模型、知识、工具授权、定时任务、用量和审计。</w:t>
      </w:r>
    </w:p>
    <w:p>
      <w:pPr>
        <w:pStyle w:val="ListNumber"/>
        <w:keepLines/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逐步扩大范围，建立日常运营、备份、升级和权限复核机制。</w:t>
      </w:r>
    </w:p>
    <w:p>
      <w:pPr>
        <w:pStyle w:val="Heading2"/>
        <w:keepNext/>
      </w:pPr>
      <w:r>
        <w:t>5.2 员工首次使用</w:t>
      </w:r>
    </w:p>
    <w:p>
      <w:pPr>
        <w:pStyle w:val="ListNumber"/>
        <w:keepLines/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使用管理员分配的账号登录，并按要求修改初始密码。</w:t>
      </w:r>
    </w:p>
    <w:p>
      <w:pPr>
        <w:pStyle w:val="ListNumber"/>
        <w:keepLines/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确认管理员提供的默认模型；如允许，补充个人模型或连接器凭证。</w:t>
      </w:r>
    </w:p>
    <w:p>
      <w:pPr>
        <w:pStyle w:val="ListNumber"/>
        <w:keepLines/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进入知识库整理岗位资料，或使用管理员预置的知识与专家。</w:t>
      </w:r>
    </w:p>
    <w:p>
      <w:pPr>
        <w:pStyle w:val="ListNumber"/>
        <w:keepLines/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从工作台新建对话，选择专家、技能、连接器后描述业务目标。</w:t>
      </w:r>
    </w:p>
    <w:p>
      <w:pPr>
        <w:pStyle w:val="ListNumber"/>
        <w:keepLines/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复核 Agent 的工具调用和输出，重要操作在授权环节确认。</w:t>
      </w:r>
    </w:p>
    <w:p>
      <w:pPr>
        <w:pStyle w:val="ListNumber"/>
        <w:keepLines/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17212B"/>
          <w:sz w:val="21"/>
        </w:rPr>
        <w:t>把重复任务配置为定时任务，并通过会话查看自动执行结果。</w:t>
      </w:r>
    </w:p>
    <w:p>
      <w:pPr>
        <w:pStyle w:val="Heading2"/>
        <w:keepNext/>
      </w:pPr>
      <w:r>
        <w:t>5.3 入转调离管理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5150"/>
        <w:gridCol w:w="2810"/>
      </w:tblGrid>
      <w:tr>
        <w:trPr>
          <w:tblHeader w:val="true"/>
        </w:trPr>
        <w:tc>
          <w:tcPr>
            <w:tcW w:type="dxa" w:w="14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515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管理员动作</w:t>
            </w:r>
          </w:p>
        </w:tc>
        <w:tc>
          <w:tcPr>
            <w:tcW w:type="dxa" w:w="281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控制目标</w:t>
            </w:r>
          </w:p>
        </w:tc>
      </w:tr>
      <w:tr>
        <w:trPr/>
        <w:tc>
          <w:tcPr>
            <w:tcW w:type="dxa" w:w="1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入职</w:t>
            </w:r>
          </w:p>
        </w:tc>
        <w:tc>
          <w:tcPr>
            <w:tcW w:type="dxa" w:w="515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创建账号、分配角色/配额/运行模式、推送岗位专家/技能/连接器</w:t>
            </w:r>
          </w:p>
        </w:tc>
        <w:tc>
          <w:tcPr>
            <w:tcW w:type="dxa" w:w="281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开箱即用、能力一致</w:t>
            </w:r>
          </w:p>
        </w:tc>
      </w:tr>
      <w:tr>
        <w:trPr/>
        <w:tc>
          <w:tcPr>
            <w:tcW w:type="dxa" w:w="1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转岗</w:t>
            </w:r>
          </w:p>
        </w:tc>
        <w:tc>
          <w:tcPr>
            <w:tcW w:type="dxa" w:w="515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调整能力、专家、连接器和模型可见性，必要时迁移或重建运行环境</w:t>
            </w:r>
          </w:p>
        </w:tc>
        <w:tc>
          <w:tcPr>
            <w:tcW w:type="dxa" w:w="281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权限随岗变化</w:t>
            </w:r>
          </w:p>
        </w:tc>
      </w:tr>
      <w:tr>
        <w:trPr/>
        <w:tc>
          <w:tcPr>
            <w:tcW w:type="dxa" w:w="1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临时停用</w:t>
            </w:r>
          </w:p>
        </w:tc>
        <w:tc>
          <w:tcPr>
            <w:tcW w:type="dxa" w:w="515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禁用账号、暂停专属容器，保留数据和审计</w:t>
            </w:r>
          </w:p>
        </w:tc>
        <w:tc>
          <w:tcPr>
            <w:tcW w:type="dxa" w:w="281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降低风险并便于恢复</w:t>
            </w:r>
          </w:p>
        </w:tc>
      </w:tr>
      <w:tr>
        <w:trPr/>
        <w:tc>
          <w:tcPr>
            <w:tcW w:type="dxa" w:w="1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离职</w:t>
            </w:r>
          </w:p>
        </w:tc>
        <w:tc>
          <w:tcPr>
            <w:tcW w:type="dxa" w:w="515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备份或移交必要数据，撤销凭证，禁用账号，审批后销毁容器与数据</w:t>
            </w:r>
          </w:p>
        </w:tc>
        <w:tc>
          <w:tcPr>
            <w:tcW w:type="dxa" w:w="281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数据可交接、权限可回收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安全、部署与运维</w:t>
      </w:r>
    </w:p>
    <w:p>
      <w:pPr>
        <w:pStyle w:val="Heading2"/>
        <w:keepNext/>
      </w:pPr>
      <w:r>
        <w:t>6.1 已实现的安全与治理机制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460"/>
        <w:gridCol w:w="3400"/>
      </w:tblGrid>
      <w:tr>
        <w:trPr>
          <w:tblHeader w:val="true"/>
        </w:trPr>
        <w:tc>
          <w:tcPr>
            <w:tcW w:type="dxa" w:w="15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控制面</w:t>
            </w:r>
          </w:p>
        </w:tc>
        <w:tc>
          <w:tcPr>
            <w:tcW w:type="dxa" w:w="44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项目机制</w:t>
            </w:r>
          </w:p>
        </w:tc>
        <w:tc>
          <w:tcPr>
            <w:tcW w:type="dxa" w:w="34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使用建议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身份与角色</w:t>
            </w:r>
          </w:p>
        </w:tc>
        <w:tc>
          <w:tcPr>
            <w:tcW w:type="dxa" w:w="4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JWT 认证、admin/user 角色、访问令牌与刷新令牌</w:t>
            </w:r>
          </w:p>
        </w:tc>
        <w:tc>
          <w:tcPr>
            <w:tcW w:type="dxa" w:w="3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管理员账号最小化，首次登录立即改密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密钥</w:t>
            </w:r>
          </w:p>
        </w:tc>
        <w:tc>
          <w:tcPr>
            <w:tcW w:type="dxa" w:w="4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JWT 与模型密钥主密钥可通过 Docker Secret/环境/持久文件提供；模型 API Key 支持加密存储</w:t>
            </w:r>
          </w:p>
        </w:tc>
        <w:tc>
          <w:tcPr>
            <w:tcW w:type="dxa" w:w="3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生产使用独立随机密钥并建立轮换流程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运行隔离</w:t>
            </w:r>
          </w:p>
        </w:tc>
        <w:tc>
          <w:tcPr>
            <w:tcW w:type="dxa" w:w="4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每用户独立工作区；Dedicated 可提供独立容器；Shared 按用户映射独立 Agent/工作区</w:t>
            </w:r>
          </w:p>
        </w:tc>
        <w:tc>
          <w:tcPr>
            <w:tcW w:type="dxa" w:w="3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敏感岗位优先 Dedicated，按风险选择模式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配额与成本</w:t>
            </w:r>
          </w:p>
        </w:tc>
        <w:tc>
          <w:tcPr>
            <w:tcW w:type="dxa" w:w="4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LLM 代理统一检查每日 Token 配额并记录输入/输出用量</w:t>
            </w:r>
          </w:p>
        </w:tc>
        <w:tc>
          <w:tcPr>
            <w:tcW w:type="dxa" w:w="3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按岗位设配额，监控异常增长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审计与追踪</w:t>
            </w:r>
          </w:p>
        </w:tc>
        <w:tc>
          <w:tcPr>
            <w:tcW w:type="dxa" w:w="4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关键操作、IP、User-Agent、状态码和 Request-ID 入审计日志</w:t>
            </w:r>
          </w:p>
        </w:tc>
        <w:tc>
          <w:tcPr>
            <w:tcW w:type="dxa" w:w="3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接入日志留存和告警体系</w:t>
            </w:r>
          </w:p>
        </w:tc>
      </w:tr>
      <w:tr>
        <w:trPr/>
        <w:tc>
          <w:tcPr>
            <w:tcW w:type="dxa" w:w="15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工具授权</w:t>
            </w:r>
          </w:p>
        </w:tc>
        <w:tc>
          <w:tcPr>
            <w:tcW w:type="dxa" w:w="44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连接器分凭证策略；对话支持敏感工具调用授权状态</w:t>
            </w:r>
          </w:p>
        </w:tc>
        <w:tc>
          <w:tcPr>
            <w:tcW w:type="dxa" w:w="3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高权限连接器逐人授权并保留审批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5E8"/>
            <w:tcBorders>
              <w:top w:val="single" w:sz="5" w:color="A66A16"/>
              <w:left w:val="single" w:sz="5" w:color="A66A16"/>
              <w:bottom w:val="single" w:sz="5" w:color="A66A16"/>
              <w:right w:val="single" w:sz="5" w:color="A66A16"/>
              <w:insideH w:val="single" w:sz="5" w:color="A66A16"/>
              <w:insideV w:val="single" w:sz="5" w:color="A66A1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A66A16"/>
                <w:sz w:val="21"/>
              </w:rPr>
              <w:t xml:space="preserve">边界声明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本项目提供平台级安全控制，但不等同于自动获得等保、ISO 27001、SOC 2 等合规认证。企业上线仍需结合网络分区、身份源、日志留存、数据分类、第三方模型条款和内部审批制度完成合规设计。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部署与交付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1"/>
        </w:rPr>
        <w:t>项目支持 Docker Compose 方式部署，核心镜像包括 gateway、manage、cca-front、hermes-agent 和 PostgreSQL。对外交付可采用私有镜像仓库或离线镜像包，客户侧仅接收可运行镜像与精简配置包，不必交付业务源码。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在线方式：厂商构建并推送私有镜像仓库，客户服务器拉取镜像并启动。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离线方式：在有网构建机打包镜像，导入客户内网后通过 Compose 启动。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数据持久化：数据库、用户工作区和平台密钥应挂载持久卷并纳入备份。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升级策略：先备份，再验证镜像与数据库迁移，最后分批重建或热应用用户环境。</w:t>
      </w:r>
    </w:p>
    <w:p>
      <w:r>
        <w:br w:type="page"/>
      </w:r>
    </w:p>
    <w:p>
      <w:pPr>
        <w:pStyle w:val="Heading1"/>
        <w:keepNext/>
      </w:pPr>
      <w:r>
        <w:t>7. 应用场景与验收建议</w:t>
      </w:r>
    </w:p>
    <w:p>
      <w:pPr>
        <w:pStyle w:val="Heading2"/>
        <w:keepNext/>
      </w:pPr>
      <w:r>
        <w:t>7.1 适合优先落地的企业场景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场景</w:t>
            </w:r>
          </w:p>
        </w:tc>
        <w:tc>
          <w:tcPr>
            <w:tcW w:type="dxa" w:w="41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组合方式</w:t>
            </w:r>
          </w:p>
        </w:tc>
        <w:tc>
          <w:tcPr>
            <w:tcW w:type="dxa" w:w="35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预期收益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企业知识问答</w:t>
            </w:r>
          </w:p>
        </w:tc>
        <w:tc>
          <w:tcPr>
            <w:tcW w:type="dxa" w:w="4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知识库 + 通用专家 + 文档连接器</w:t>
            </w:r>
          </w:p>
        </w:tc>
        <w:tc>
          <w:tcPr>
            <w:tcW w:type="dxa" w:w="35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减少资料查找时间，提高回答一致性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销售支持</w:t>
            </w:r>
          </w:p>
        </w:tc>
        <w:tc>
          <w:tcPr>
            <w:tcW w:type="dxa" w:w="4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销售专家 + 产品知识 + CRM 连接器 + 定时跟进</w:t>
            </w:r>
          </w:p>
        </w:tc>
        <w:tc>
          <w:tcPr>
            <w:tcW w:type="dxa" w:w="35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统一话术，辅助纪要、方案和跟进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研发协作</w:t>
            </w:r>
          </w:p>
        </w:tc>
        <w:tc>
          <w:tcPr>
            <w:tcW w:type="dxa" w:w="4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编程专家 + 代码/CI 连接器 + 技能</w:t>
            </w:r>
          </w:p>
        </w:tc>
        <w:tc>
          <w:tcPr>
            <w:tcW w:type="dxa" w:w="35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提高问题定位、方案整理和自动化效率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人力资源</w:t>
            </w:r>
          </w:p>
        </w:tc>
        <w:tc>
          <w:tcPr>
            <w:tcW w:type="dxa" w:w="4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HR 专家 + 制度知识 + 日历/消息渠道</w:t>
            </w:r>
          </w:p>
        </w:tc>
        <w:tc>
          <w:tcPr>
            <w:tcW w:type="dxa" w:w="35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支持政策问答、招聘材料与员工沟通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运营巡检</w:t>
            </w:r>
          </w:p>
        </w:tc>
        <w:tc>
          <w:tcPr>
            <w:tcW w:type="dxa" w:w="4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连接器 + 定时任务 + 企业消息渠道</w:t>
            </w:r>
          </w:p>
        </w:tc>
        <w:tc>
          <w:tcPr>
            <w:tcW w:type="dxa" w:w="35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周期采集状态并自动推送异常或报告</w:t>
            </w:r>
          </w:p>
        </w:tc>
      </w:tr>
      <w:tr>
        <w:trPr/>
        <w:tc>
          <w:tcPr>
            <w:tcW w:type="dxa" w:w="17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业务系统嵌入</w:t>
            </w:r>
          </w:p>
        </w:tc>
        <w:tc>
          <w:tcPr>
            <w:tcW w:type="dxa" w:w="41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API Token + 会话/运行接口</w:t>
            </w:r>
          </w:p>
        </w:tc>
        <w:tc>
          <w:tcPr>
            <w:tcW w:type="dxa" w:w="35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在现有门户或流程系统中复用 Agent 能力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建议验收清单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管理员可创建、批量导入、启停和检索用户，并能修改角色、配额与运行模式。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Dedicated 用户可自动创建/恢复容器；Shared 用户只访问自己的 Agent、会话和工作区。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平台可配置至少一个模型并通过连接测试，客户端能正常完成流式对话。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管理员可分发技能、连接器与专家，客户端只看到被允许的能力。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知识文档可创建、搜索、预览，并能在对话中被调用。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定时任务可按固定间隔、Cron 或单次时间执行，结果回到会话。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用量统计能记录输入、输出和总 Token；审计能按 Request-ID 追踪关键操作。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模型密钥、JWT 密钥、连接器凭证不写入源码，生产使用独立 Secret。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执行备份和恢复演练，验证升级或容器重建后关键数据仍可用。</w:t>
      </w:r>
    </w:p>
    <w:p>
      <w:pPr>
        <w:pStyle w:val="ListBullet"/>
        <w:keepLines/>
        <w:spacing w:after="80" w:line="300" w:lineRule="auto"/>
      </w:pPr>
      <w:r>
        <w:rPr>
          <w:rFonts w:ascii="Calibri" w:hAnsi="Calibri" w:eastAsia="Microsoft YaHei"/>
          <w:color w:val="17212B"/>
          <w:sz w:val="21"/>
        </w:rPr>
        <w:t>□ 高风险渠道和连接器使用白名单、最小权限与审批机制。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6FA"/>
            <w:tcBorders>
              <w:top w:val="single" w:sz="5" w:color="137C9B"/>
              <w:left w:val="single" w:sz="5" w:color="137C9B"/>
              <w:bottom w:val="single" w:sz="5" w:color="137C9B"/>
              <w:right w:val="single" w:sz="5" w:color="137C9B"/>
              <w:insideH w:val="single" w:sz="5" w:color="137C9B"/>
              <w:insideV w:val="single" w:sz="5" w:color="137C9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37C9B"/>
                <w:sz w:val="21"/>
              </w:rPr>
              <w:t xml:space="preserve">实施结果  </w:t>
            </w:r>
            <w:r>
              <w:rPr>
                <w:rFonts w:ascii="Calibri" w:hAnsi="Calibri" w:eastAsia="Microsoft YaHei"/>
                <w:color w:val="17212B"/>
                <w:sz w:val="21"/>
              </w:rPr>
              <w:t>当企业能够统一管理账号、模型、能力和运行资源，同时让员工在隔离空间中稳定使用知识、工具与自动任务，并能通过用量与审计持续运营，即完成从“AI 对话工具”到“企业 AI 工作平台”的升级。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附录：功能入口速查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400"/>
        <w:gridCol w:w="5660"/>
      </w:tblGrid>
      <w:tr>
        <w:trPr>
          <w:tblHeader w:val="true"/>
        </w:trPr>
        <w:tc>
          <w:tcPr>
            <w:tcW w:type="dxa" w:w="13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角色</w:t>
            </w:r>
          </w:p>
        </w:tc>
        <w:tc>
          <w:tcPr>
            <w:tcW w:type="dxa" w:w="240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入口</w:t>
            </w:r>
          </w:p>
        </w:tc>
        <w:tc>
          <w:tcPr>
            <w:tcW w:type="dxa" w:w="5660"/>
            <w:shd w:fill="EEF3F8"/>
            <w:vAlign w:val="center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主要功能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仪表盘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总用户、活跃容器、今日 Token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用户管理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账号、角色、配额、运行模式、能力与用户数据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容器管理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状态同步、暂停、恢复、销毁、重建、备份恢复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技能/连接器/专家/能力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目录维护、默认安装、批量分发与指定用户授权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模型配置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供应商、协议、密钥、默认模型与连接测试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管理员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API/用量/审计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系统集成、成本统计、关键操作追踪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对话/专家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多 Agent 对话、上下文选择、工具活动与文件结果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知识库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文档、目录、检索、预览、反链、图谱和召回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技能/连接器/插件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安装扩展、授权工具、自定义 MCP 与插件能力</w:t>
            </w:r>
          </w:p>
        </w:tc>
      </w:tr>
      <w:tr>
        <w:trPr/>
        <w:tc>
          <w:tcPr>
            <w:tcW w:type="dxa" w:w="13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用户</w:t>
            </w:r>
          </w:p>
        </w:tc>
        <w:tc>
          <w:tcPr>
            <w:tcW w:type="dxa" w:w="240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渠道/定时任务/设置</w:t>
            </w:r>
          </w:p>
        </w:tc>
        <w:tc>
          <w:tcPr>
            <w:tcW w:type="dxa" w:w="5660"/>
            <w:vAlign w:val="top"/>
            <w:tcBorders>
              <w:top w:val="single" w:sz="4" w:color="D8E2EA"/>
              <w:left w:val="single" w:sz="4" w:color="D8E2EA"/>
              <w:bottom w:val="single" w:sz="4" w:color="D8E2EA"/>
              <w:right w:val="single" w:sz="4" w:color="D8E2EA"/>
              <w:insideH w:val="single" w:sz="4" w:color="D8E2EA"/>
              <w:insideV w:val="single" w:sz="4" w:color="D8E2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企业消息接入、自动执行、个人模型与运行状态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jc w:val="left"/>
      <w:tblBorders>
        <w:top w:val="nil"/>
        <w:left w:val="nil"/>
        <w:bottom w:val="nil"/>
        <w:right w:val="nil"/>
        <w:insideH w:val="nil"/>
        <w:insideV w:val="nil"/>
      </w:tblBorders>
      <w:tblInd w:type="dxa" w:w="0"/>
    </w:tblPr>
    <w:tblGrid>
      <w:gridCol w:w="6500"/>
      <w:gridCol w:w="2860"/>
    </w:tblGrid>
    <w:tr>
      <w:trPr/>
      <w:tc>
        <w:tcPr>
          <w:tcW w:type="dxa" w:w="6500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 w:eastAsia="Microsoft YaHei"/>
              <w:color w:val="5F7182"/>
              <w:sz w:val="16"/>
            </w:rPr>
            <w:t>基于当前项目代码与界面整理 · 2026-08-25</w:t>
          </w:r>
        </w:p>
      </w:tc>
      <w:tc>
        <w:tcPr>
          <w:tcW w:type="dxa" w:w="2860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5F7182"/>
              <w:sz w:val="16"/>
            </w:rPr>
            <w:t xml:space="preserve">第 </w:t>
          </w:r>
          <w:r>
            <w:rPr>
              <w:rFonts w:ascii="Calibri" w:hAnsi="Calibri" w:eastAsia="Microsoft YaHei"/>
              <w:color w:val="5F7182"/>
              <w:sz w:val="17"/>
            </w:rPr>
            <w:fldChar w:fldCharType="begin"/>
            <w:instrText xml:space="preserve"> PAGE </w:instrText>
            <w:fldChar w:fldCharType="end"/>
          </w:r>
          <w:r>
            <w:rPr>
              <w:rFonts w:ascii="Calibri" w:hAnsi="Calibri" w:eastAsia="Microsoft YaHei"/>
              <w:color w:val="5F7182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137C9B"/>
        <w:sz w:val="17"/>
      </w:rPr>
      <w:t xml:space="preserve">COMWORKER  </w:t>
    </w:r>
    <w:r>
      <w:rPr>
        <w:rFonts w:ascii="Calibri" w:hAnsi="Calibri" w:eastAsia="Microsoft YaHei"/>
        <w:color w:val="5F7182"/>
        <w:sz w:val="17"/>
      </w:rPr>
      <w:t>企业功能说明书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37C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71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5F718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ComWorker 企业功能说明书</dc:title>
  <dc:subject>管理端与客户端功能、企业治理能力和典型使用流程</dc:subject>
  <dc:creator>ComWorker 项目组</dc:creator>
  <cp:keywords/>
  <dc:description>依据 2026-08-25 项目代码、README 与当前前端界面整理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