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rPr>
          <w:b/>
          <w:bCs/>
          <w:color w:val="1F3864"/>
          <w:sz w:val="40"/>
          <w:szCs w:val="40"/>
        </w:rPr>
        <w:t xml:space="preserve">Drug Dispensed Report — Validation Engine</w:t>
      </w:r>
    </w:p>
    <w:p>
      <w:pPr>
        <w:spacing w:after="60"/>
      </w:pPr>
      <w:r>
        <w:rPr>
          <w:b/>
          <w:bCs/>
          <w:color w:val="2E75B6"/>
          <w:sz w:val="30"/>
          <w:szCs w:val="30"/>
        </w:rPr>
        <w:t xml:space="preserve">Cheat-Sheet &amp; Production Checklist</w:t>
      </w:r>
    </w:p>
    <w:p>
      <w:pPr>
        <w:pBdr>
          <w:bottom w:val="single" w:color="2E75B6" w:sz="8" w:space="6"/>
        </w:pBdr>
        <w:spacing w:after="150"/>
      </w:pPr>
      <w:r>
        <w:t xml:space="preserve"/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 one-page-at-a-glance companion to the full Backend Developer Specification. </w:t>
      </w:r>
      <w:r>
        <w:rPr>
          <w:i/>
          <w:iCs/>
          <w:color w:val="595959"/>
          <w:sz w:val="20"/>
          <w:szCs w:val="20"/>
        </w:rPr>
        <w:t xml:space="preserve">Tick each </w:t>
      </w:r>
      <w:r>
        <w:rPr>
          <w:color w:val="2E5496"/>
          <w:sz w:val="20"/>
          <w:szCs w:val="20"/>
        </w:rPr>
        <w:t xml:space="preserve">☐</w:t>
      </w:r>
      <w:r>
        <w:rPr>
          <w:i/>
          <w:iCs/>
          <w:color w:val="595959"/>
          <w:sz w:val="20"/>
          <w:szCs w:val="20"/>
        </w:rPr>
        <w:t xml:space="preserve"> as it is built and verified so no analysis is missed in production.</w:t>
      </w:r>
    </w:p>
    <w:tbl>
      <w:tblPr>
        <w:tblW w:type="dxa" w:w="9360"/>
        <w:tblBorders>
          <w:top w:val="single" w:color="C2CBD9" w:sz="4"/>
          <w:left w:val="single" w:color="C2CBD9" w:sz="4"/>
          <w:bottom w:val="single" w:color="C2CBD9" w:sz="4"/>
          <w:right w:val="single" w:color="C2CBD9" w:sz="4"/>
          <w:insideH w:val="single" w:color="C2CBD9" w:sz="4"/>
          <w:insideV w:val="single" w:color="C2CBD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Companion to</w:t>
            </w:r>
          </w:p>
        </w:tc>
        <w:tc>
          <w:tcPr>
            <w:tcW w:type="dxa" w:w="69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Drug_Dispensed_Report_Analysis_Spec.docx</w:t>
            </w:r>
          </w:p>
        </w:tc>
      </w:tr>
      <w:tr>
        <w:tc>
          <w:tcPr>
            <w:tcW w:type="dxa" w:w="24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This document is</w:t>
            </w:r>
          </w:p>
        </w:tc>
        <w:tc>
          <w:tcPr>
            <w:tcW w:type="dxa" w:w="69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condensed index + working checklist — not a replacement for the spec.</w:t>
            </w:r>
          </w:p>
        </w:tc>
      </w:tr>
      <w:tr>
        <w:tc>
          <w:tcPr>
            <w:tcW w:type="dxa" w:w="24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How to read § refs</w:t>
            </w:r>
          </w:p>
        </w:tc>
        <w:tc>
          <w:tcPr>
            <w:tcW w:type="dxa" w:w="69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Every § number points to the matching section in the full specification.</w:t>
            </w:r>
          </w:p>
        </w:tc>
      </w:tr>
      <w:tr>
        <w:tc>
          <w:tcPr>
            <w:tcW w:type="dxa" w:w="24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1.0 (matches spec v1.0)</w:t>
            </w:r>
          </w:p>
        </w:tc>
      </w:tr>
      <w:tr>
        <w:tc>
          <w:tcPr>
            <w:tcW w:type="dxa" w:w="24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Confidential — references Protected Health Information (PHI)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EAF1FB" w:sz="2"/>
          <w:left w:val="single" w:color="2E75B6" w:sz="26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16"/>
              <w:left w:type="dxa" w:w="210"/>
              <w:bottom w:type="dxa" w:w="116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HOW THIS SHEET RELATES TO THE FULL SPEC</w:t>
            </w:r>
          </w:p>
          <w:p>
            <w:pPr>
              <w:spacing w:after="44" w:line="264"/>
            </w:pPr>
            <w:r>
              <w:rPr>
                <w:sz w:val="19"/>
                <w:szCs w:val="19"/>
              </w:rPr>
              <w:t xml:space="preserve">This sheet summarizes </w:t>
            </w:r>
            <w:r>
              <w:rPr>
                <w:b/>
                <w:bCs/>
                <w:sz w:val="19"/>
                <w:szCs w:val="19"/>
              </w:rPr>
              <w:t xml:space="preserve">Drug_Dispensed_Report_Analysis_Spec.docx</w:t>
            </w:r>
            <w:r>
              <w:rPr>
                <w:sz w:val="19"/>
                <w:szCs w:val="19"/>
              </w:rPr>
              <w:t xml:space="preserve">. It carries no new requirements of its own — every line is a shortened pointer into that document, marked with its section (§).</w:t>
            </w:r>
          </w:p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The full specification is authoritative. </w:t>
            </w:r>
            <w:r>
              <w:rPr>
                <w:sz w:val="19"/>
                <w:szCs w:val="19"/>
              </w:rPr>
              <w:t xml:space="preserve">Where this summary and the spec appear to differ — in detail, threshold, pseudocode, or edge case — follow the spec.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50"/>
      </w:pPr>
      <w:r>
        <w:rPr>
          <w:b/>
          <w:bCs/>
          <w:color w:val="1F3864"/>
          <w:sz w:val="19"/>
          <w:szCs w:val="19"/>
        </w:rPr>
        <w:t xml:space="preserve">On this sheet:</w:t>
      </w:r>
    </w:p>
    <w:p>
      <w:pPr>
        <w:spacing w:after="60" w:line="276"/>
        <w:jc w:val="left"/>
      </w:pPr>
      <w:r>
        <w:rPr>
          <w:sz w:val="19"/>
          <w:szCs w:val="19"/>
        </w:rPr>
        <w:t xml:space="preserve">1) Foundations to build first   ·   </w:t>
      </w:r>
      <w:r>
        <w:rPr>
          <w:sz w:val="19"/>
          <w:szCs w:val="19"/>
        </w:rPr>
        <w:t xml:space="preserve">2) The twelve analyses at a glance   ·   </w:t>
      </w:r>
      <w:r>
        <w:rPr>
          <w:sz w:val="19"/>
          <w:szCs w:val="19"/>
        </w:rPr>
        <w:t xml:space="preserve">3) Module quick-cards (A–J)   ·   </w:t>
      </w:r>
      <w:r>
        <w:rPr>
          <w:sz w:val="19"/>
          <w:szCs w:val="19"/>
        </w:rPr>
        <w:t xml:space="preserve">4) Output reports   ·   </w:t>
      </w:r>
      <w:r>
        <w:rPr>
          <w:sz w:val="19"/>
          <w:szCs w:val="19"/>
        </w:rPr>
        <w:t xml:space="preserve">5) Severity flags   ·   </w:t>
      </w:r>
      <w:r>
        <w:rPr>
          <w:sz w:val="19"/>
          <w:szCs w:val="19"/>
        </w:rPr>
        <w:t xml:space="preserve">6) Definition of Done   ·   </w:t>
      </w:r>
      <w:r>
        <w:rPr>
          <w:sz w:val="19"/>
          <w:szCs w:val="19"/>
        </w:rPr>
        <w:t xml:space="preserve">7) Answers needed from the stakeholder</w:t>
      </w:r>
    </w:p>
    <w:p>
      <w:pPr>
        <w:pStyle w:val="Heading1"/>
      </w:pPr>
      <w:r>
        <w:t xml:space="preserve">1. Foundations — build these before any analysis</w:t>
      </w:r>
    </w:p>
    <w:tbl>
      <w:tblPr>
        <w:tblW w:type="dxa" w:w="9360"/>
        <w:tblBorders>
          <w:top w:val="single" w:color="FBF3E7" w:sz="2"/>
          <w:left w:val="single" w:color="C77F1A" w:sz="26"/>
          <w:bottom w:val="single" w:color="FBF3E7" w:sz="2"/>
          <w:right w:val="single" w:color="FBF3E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7" w:val="clear"/>
            <w:tcMar>
              <w:top w:type="dxa" w:w="116"/>
              <w:left w:type="dxa" w:w="210"/>
              <w:bottom w:type="dxa" w:w="116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77F1A"/>
                <w:sz w:val="19"/>
                <w:szCs w:val="19"/>
              </w:rPr>
              <w:t xml:space="preserve">DO THIS FIRST</w:t>
            </w:r>
          </w:p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If any item below is wrong, every analysis inherits the error. Get these in place before coding Modules A–J.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Prefer a structured CSV / data export over parsing the PDF, if the pharmacy system can produce one.</w:t>
      </w:r>
      <w:r>
        <w:rPr>
          <w:i/>
          <w:iCs/>
          <w:color w:val="595959"/>
          <w:sz w:val="17"/>
          <w:szCs w:val="17"/>
        </w:rPr>
        <w:t xml:space="preserve">  (§4.6, §16)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Build an importer that round-trips every field in the field dictionary, with a quarantine list for unparsed lines.</w:t>
      </w:r>
      <w:r>
        <w:rPr>
          <w:i/>
          <w:iCs/>
          <w:color w:val="595959"/>
          <w:sz w:val="17"/>
          <w:szCs w:val="17"/>
        </w:rPr>
        <w:t xml:space="preserve">  (§4.3, §15)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Normalize every NDC to an 11-digit zero-padded string</w:t>
      </w:r>
      <w:r>
        <w:rPr>
          <w:sz w:val="19"/>
          <w:szCs w:val="19"/>
        </w:rPr>
        <w:t xml:space="preserve"> — never store or compare it as an integer.</w:t>
      </w:r>
      <w:r>
        <w:rPr>
          <w:i/>
          <w:iCs/>
          <w:color w:val="595959"/>
          <w:sz w:val="17"/>
          <w:szCs w:val="17"/>
        </w:rPr>
        <w:t xml:space="preserve">  (§6.1)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Recompute all subtotals and totals from the line items</w:t>
      </w:r>
      <w:r>
        <w:rPr>
          <w:sz w:val="19"/>
          <w:szCs w:val="19"/>
        </w:rPr>
        <w:t xml:space="preserve">; ignore the printed grand total (it is corrupted in the sample).</w:t>
      </w:r>
      <w:r>
        <w:rPr>
          <w:i/>
          <w:iCs/>
          <w:color w:val="595959"/>
          <w:sz w:val="17"/>
          <w:szCs w:val="17"/>
        </w:rPr>
        <w:t xml:space="preserve">  (§4.4)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Derive a stable </w:t>
      </w:r>
      <w:r>
        <w:rPr>
          <w:b/>
          <w:bCs/>
        </w:rPr>
        <w:t xml:space="preserve">patient key = hash(name + phone + ZIP)</w:t>
      </w:r>
      <w:r>
        <w:rPr>
          <w:sz w:val="19"/>
          <w:szCs w:val="19"/>
        </w:rPr>
        <w:t xml:space="preserve">; treat same-name / different-contact rows as different people.</w:t>
      </w:r>
      <w:r>
        <w:rPr>
          <w:i/>
          <w:iCs/>
          <w:color w:val="595959"/>
          <w:sz w:val="17"/>
          <w:szCs w:val="17"/>
        </w:rPr>
        <w:t xml:space="preserve">  (§6.3)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Build an insurance-code canonicalizer that folds wrapped / variant codes to one canonical code (keep the raw code too).</w:t>
      </w:r>
      <w:r>
        <w:rPr>
          <w:i/>
          <w:iCs/>
          <w:color w:val="595959"/>
          <w:sz w:val="17"/>
          <w:szCs w:val="17"/>
        </w:rPr>
        <w:t xml:space="preserve">  (§6.5)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Confirm </w:t>
      </w:r>
      <w:r>
        <w:rPr>
          <w:b/>
          <w:bCs/>
        </w:rPr>
        <w:t xml:space="preserve">Ref# = refills remaining</w:t>
      </w:r>
      <w:r>
        <w:rPr>
          <w:sz w:val="19"/>
          <w:szCs w:val="19"/>
        </w:rPr>
        <w:t xml:space="preserve"> (vs a refill sequence number) before go-live.</w:t>
      </w:r>
      <w:r>
        <w:rPr>
          <w:i/>
          <w:iCs/>
          <w:color w:val="595959"/>
          <w:sz w:val="17"/>
          <w:szCs w:val="17"/>
        </w:rPr>
        <w:t xml:space="preserve">  (§6.6, §16)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Load the FDA NDC Directory (local bulk file + openFDA fallback) for discontinuation, package size, and product name.</w:t>
      </w:r>
      <w:r>
        <w:rPr>
          <w:i/>
          <w:iCs/>
          <w:color w:val="595959"/>
          <w:sz w:val="17"/>
          <w:szCs w:val="17"/>
        </w:rPr>
        <w:t xml:space="preserve">  (§5.1)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Wire RxNorm / RxNav for NDC↔RxCUI mapping and NDC status (the second opinion used by Modules A and B).</w:t>
      </w:r>
      <w:r>
        <w:rPr>
          <w:i/>
          <w:iCs/>
          <w:color w:val="595959"/>
          <w:sz w:val="17"/>
          <w:szCs w:val="17"/>
        </w:rPr>
        <w:t xml:space="preserve">  (§5.2)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Acquire and retain history — at least the previous month (Module I) and a rolling 12 months (Module J).</w:t>
      </w:r>
      <w:r>
        <w:rPr>
          <w:i/>
          <w:iCs/>
          <w:color w:val="595959"/>
          <w:sz w:val="17"/>
          <w:szCs w:val="17"/>
        </w:rPr>
        <w:t xml:space="preserve">  (§5.3, §16)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Put every threshold in config, not in code (early-refill %, days-supply tolerance, refill grace, package epsilon, name-match score).</w:t>
      </w:r>
      <w:r>
        <w:rPr>
          <w:i/>
          <w:iCs/>
          <w:color w:val="595959"/>
          <w:sz w:val="17"/>
          <w:szCs w:val="17"/>
        </w:rPr>
        <w:t xml:space="preserve">  (§12)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Stand up PHI controls: encryption, least-privilege access, no PHI in logs, NDC-only external lookups.</w:t>
      </w:r>
      <w:r>
        <w:rPr>
          <w:i/>
          <w:iCs/>
          <w:color w:val="595959"/>
          <w:sz w:val="17"/>
          <w:szCs w:val="17"/>
        </w:rPr>
        <w:t xml:space="preserve">  (§13)</w:t>
      </w:r>
    </w:p>
    <w:p>
      <w:pPr>
        <w:pStyle w:val="Heading1"/>
      </w:pPr>
      <w:r>
        <w:t xml:space="preserve">2. The twelve analyses at a glance</w:t>
      </w:r>
    </w:p>
    <w:p>
      <w:pPr>
        <w:spacing w:after="110" w:line="276"/>
        <w:jc w:val="left"/>
      </w:pPr>
      <w:r>
        <w:rPr>
          <w:sz w:val="19"/>
          <w:szCs w:val="19"/>
        </w:rPr>
        <w:t xml:space="preserve">The original 12 requests consolidate into </w:t>
      </w:r>
      <w:r>
        <w:rPr>
          <w:b/>
          <w:bCs/>
        </w:rPr>
        <w:t xml:space="preserve">10 build modules (A–J)</w:t>
      </w:r>
      <w:r>
        <w:rPr>
          <w:sz w:val="19"/>
          <w:szCs w:val="19"/>
        </w:rPr>
        <w:t xml:space="preserve"> — two pairs are the same check. Tick a module when it passes its acceptance test in §15. Build detail and pseudocode live in §7.</w:t>
      </w:r>
    </w:p>
    <w:tbl>
      <w:tblPr>
        <w:tblW w:type="dxa" w:w="9360"/>
        <w:tblBorders>
          <w:top w:val="single" w:color="C2CBD9" w:sz="4"/>
          <w:left w:val="single" w:color="C2CBD9" w:sz="4"/>
          <w:bottom w:val="single" w:color="C2CBD9" w:sz="4"/>
          <w:right w:val="single" w:color="C2CBD9" w:sz="4"/>
          <w:insideH w:val="single" w:color="C2CBD9" w:sz="4"/>
          <w:insideV w:val="single" w:color="C2CBD9" w:sz="4"/>
        </w:tblBorders>
      </w:tblPr>
      <w:tblGrid>
        <w:gridCol w:w="440"/>
        <w:gridCol w:w="700"/>
        <w:gridCol w:w="560"/>
        <w:gridCol w:w="4920"/>
        <w:gridCol w:w="1180"/>
        <w:gridCol w:w="820"/>
        <w:gridCol w:w="740"/>
      </w:tblGrid>
      <w:tr>
        <w:trPr>
          <w:tblHeader/>
        </w:trPr>
        <w:tc>
          <w:tcPr>
            <w:tcW w:type="dxa" w:w="44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6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492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checks (short)</w:t>
            </w:r>
          </w:p>
        </w:tc>
        <w:tc>
          <w:tcPr>
            <w:tcW w:type="dxa" w:w="118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Flag(s)</w:t>
            </w:r>
          </w:p>
        </w:tc>
        <w:tc>
          <w:tcPr>
            <w:tcW w:type="dxa" w:w="82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74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9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NDC is a real, currently-marketed product (not discontinued)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ERR / WARN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§7.1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49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Printed drug name matches the product the NDC actually is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 &amp; 9</w:t>
            </w:r>
          </w:p>
        </w:tc>
        <w:tc>
          <w:tcPr>
            <w:tcW w:type="dxa" w:w="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49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Dispensed qty fits the package size (whole units for unit-of-use)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ERROR*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§7.3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 &amp; 10</w:t>
            </w:r>
          </w:p>
        </w:tc>
        <w:tc>
          <w:tcPr>
            <w:tcW w:type="dxa" w:w="5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49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Qty ÷ days-supply (units/day) is plausible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ERR / WARN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§7.4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49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How many times the same drug was charged to one patient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§7.5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49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…the same drug to one patient under the same insurance plan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§7.6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49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Per-patient bill: totals + per-drug / per-plan breakdown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totals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§7.7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49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Every prescription with 0 refills left → its own report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§7.8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49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Patient missed an expected refill vs a prior period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§7.9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49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Per-patient list of all fills &amp; pickups over the year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report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§7.10</w:t>
            </w:r>
          </w:p>
        </w:tc>
      </w:tr>
    </w:tbl>
    <w:p>
      <w:pPr>
        <w:spacing w:after="30" w:before="70"/>
      </w:pPr>
      <w:r>
        <w:rPr>
          <w:i/>
          <w:iCs/>
          <w:color w:val="595959"/>
          <w:sz w:val="17"/>
          <w:szCs w:val="17"/>
        </w:rPr>
        <w:t xml:space="preserve">* Module C raises ERROR for unit-of-use products only (inhalers, pens, kits, sensors); bulk-dispensed tablets/liquids are informational.</w:t>
      </w:r>
    </w:p>
    <w:p>
      <w:pPr>
        <w:spacing w:after="60" w:line="276"/>
        <w:jc w:val="left"/>
      </w:pPr>
      <w:r>
        <w:rPr>
          <w:b/>
          <w:bCs/>
        </w:rPr>
        <w:t xml:space="preserve">All twelve requests are covered — </w:t>
      </w:r>
      <w:r>
        <w:rPr>
          <w:sz w:val="19"/>
          <w:szCs w:val="19"/>
        </w:rPr>
        <w:t xml:space="preserve">1→A · 2 &amp; 9→C · 3 &amp; 10→D · 4→E · 5→F · 6→G · 7→H · 8→B · 11→I · 12→J. </w:t>
      </w:r>
      <w:r>
        <w:rPr>
          <w:i/>
          <w:iCs/>
          <w:color w:val="595959"/>
          <w:sz w:val="17"/>
          <w:szCs w:val="17"/>
        </w:rPr>
        <w:t xml:space="preserve">Full mapping with notes: §14.</w:t>
      </w:r>
    </w:p>
    <w:p>
      <w:pPr>
        <w:pStyle w:val="Heading1"/>
      </w:pPr>
      <w:r>
        <w:t xml:space="preserve">3. Module quick-cards (A–J)</w:t>
      </w:r>
    </w:p>
    <w:p>
      <w:pPr>
        <w:spacing w:after="40" w:line="276"/>
        <w:jc w:val="left"/>
      </w:pPr>
      <w:r>
        <w:rPr>
          <w:i/>
          <w:iCs/>
          <w:color w:val="595959"/>
          <w:sz w:val="17"/>
          <w:szCs w:val="17"/>
        </w:rPr>
        <w:t xml:space="preserve">One card per module: what it does, the core rule, the trap to avoid, and what it emits. Open the cited § in the full spec for pseudocode and worked examples.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A — NDC validity &amp; discontinuation</w:t>
      </w:r>
      <w:r>
        <w:rPr>
          <w:i/>
          <w:iCs/>
          <w:color w:val="595959"/>
          <w:sz w:val="17"/>
          <w:szCs w:val="17"/>
        </w:rPr>
        <w:t xml:space="preserve">    Req 1   ·   §7.1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Confirm each NDC is a real product that is still marketed.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Past FDA marketing-end date, or on the inactive listing → discontinued; RxNorm gives a second opinion.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NOT_FOUND ≠ discontinued — repackaged/relabeled NDCs may be absent, so that is a WARNING, not an ERROR.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Per-line status → R1. ERROR (discontinued) / WARNING (not found).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B — Drug name ↔ NDC consistency</w:t>
      </w:r>
      <w:r>
        <w:rPr>
          <w:i/>
          <w:iCs/>
          <w:color w:val="595959"/>
          <w:sz w:val="17"/>
          <w:szCs w:val="17"/>
        </w:rPr>
        <w:t xml:space="preserve">    Req 8   ·   §7.2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Confirm the printed drug name matches the product the NDC really is.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Map both the name and the NDC to an RxCUI (or compare ingredient + strength + form); equal → MATCH.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Brand vs generic is still a MATCH (that's why RxCUI is used); combos need both ingredients &amp; strengths; devices may have no RxCUI → INDETERMINATE.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Per-line MATCH / MISMATCH → R1. ERROR on mismatch.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C — Package size vs dispensed quantity</w:t>
      </w:r>
      <w:r>
        <w:rPr>
          <w:i/>
          <w:iCs/>
          <w:color w:val="595959"/>
          <w:sz w:val="17"/>
          <w:szCs w:val="17"/>
        </w:rPr>
        <w:t xml:space="preserve">    Req 2 &amp; 9   ·   §7.3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Check dispensed quantity against the NDC's package size.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Unit-of-use products dispense in whole multiples; bulk items (tabs/caps/liquids from stock) may be any quantity. The report's packs value corroborates.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The rule is configurable per dosage form — default: unit-of-use → ERROR on a fractional quantity; bulk → informational. Confirm the product list (§16).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Per-line PASS / ERROR + ratio → R1. ERROR (unit-of-use only).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D — Days supply vs dispensed quantity</w:t>
      </w:r>
      <w:r>
        <w:rPr>
          <w:i/>
          <w:iCs/>
          <w:color w:val="595959"/>
          <w:sz w:val="17"/>
          <w:szCs w:val="17"/>
        </w:rPr>
        <w:t xml:space="preserve">    Req 3 &amp; 10   ·   §7.4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Check that units-per-day (qty ÷ days_supply) is plausible.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Tier 1 exact when SIG is present; Tier 2 per-drug reference range; Tier 3 generic bounds.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No SIG in this report, so an exact check is impossible; tapers / PRN / titration legitimately break the math; exclude devices. Generic-bound misses are WARNING, not ERROR.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Per-line check + units/day → R1. ERROR (invalid, e.g. days ≤ 0) / WARNING (out of bounds).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E — Repeat dispensing per patient + drug</w:t>
      </w:r>
      <w:r>
        <w:rPr>
          <w:i/>
          <w:iCs/>
          <w:color w:val="595959"/>
          <w:sz w:val="17"/>
          <w:szCs w:val="17"/>
        </w:rPr>
        <w:t xml:space="preserve">    Req 4   ·   §7.5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Count how many times the same drug was charged to the same patient.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Group by patient key + drug identity; record count, total qty, the list of fills, and overlap / too-soon flags.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Needs the stable patient key (§6.3); never merge different patients listed under one shared NDC block.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Repeat-dispensing rows → R2.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F — Repeat dispensing per patient + drug + insurance</w:t>
      </w:r>
      <w:r>
        <w:rPr>
          <w:i/>
          <w:iCs/>
          <w:color w:val="595959"/>
          <w:sz w:val="17"/>
          <w:szCs w:val="17"/>
        </w:rPr>
        <w:t xml:space="preserve">    Req 5   ·   §7.6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As Module E, additionally split by insurance — the strongest single signal for plan-level double-billing.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Group by patient + drug + canonical insurance code.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A mid-period plan switch legitimately spans two codes (not a duplicate); canonicalize wrapped codes first (§6.5) or true duplicates are missed.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Same shape as E + insurance code → R2.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G — Per-patient billing analysis</w:t>
      </w:r>
      <w:r>
        <w:rPr>
          <w:i/>
          <w:iCs/>
          <w:color w:val="595959"/>
          <w:sz w:val="17"/>
          <w:szCs w:val="17"/>
        </w:rPr>
        <w:t xml:space="preserve">    Req 6   ·   §7.7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Total each patient's billing, broken down by drug and by plan, with an unpaid / cash list.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Sum price and ins_paid per patient from the recomputed line items; reconcile to the recomputed grand total.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Use recomputed totals — never the corrupted printed grand total (§4.4).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Per-patient totals &amp; breakdowns → R3.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H — Zero-refill detection &amp; dedicated report</w:t>
      </w:r>
      <w:r>
        <w:rPr>
          <w:i/>
          <w:iCs/>
          <w:color w:val="595959"/>
          <w:sz w:val="17"/>
          <w:szCs w:val="17"/>
        </w:rPr>
        <w:t xml:space="preserve">    Req 7   ·   §7.8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Find every line with refills remaining = 0 and emit a separate report.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Select Ref# == 0; sort by projected run-out date.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Confirm Ref# = refills remaining (§6.6); controlled drugs often legitimately show 0.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Dedicated report → R4.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I — Missing prior-month refill detection</w:t>
      </w:r>
      <w:r>
        <w:rPr>
          <w:i/>
          <w:iCs/>
          <w:color w:val="595959"/>
          <w:sz w:val="17"/>
          <w:szCs w:val="17"/>
        </w:rPr>
        <w:t xml:space="preserve">    Req 11   ·   §7.9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Flag maintenance patients who did not refill an expected drug from a prior period.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expected_next = last_fill + days_supply; if not refilled by expected_next + grace → overdue.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REQUIRES prior-period history — a single report cannot do this (§5.3); needs a maintenance definition + grace window (§16).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Overdue worklist → R5. WARNING.</w:t>
      </w:r>
    </w:p>
    <w:p>
      <w:pPr>
        <w:spacing w:after="30" w:before="130"/>
      </w:pPr>
      <w:r>
        <w:rPr>
          <w:b/>
          <w:bCs/>
          <w:color w:val="1F3864"/>
          <w:sz w:val="21"/>
          <w:szCs w:val="21"/>
        </w:rPr>
        <w:t xml:space="preserve">Module J — Per-patient annual prescription report</w:t>
      </w:r>
      <w:r>
        <w:rPr>
          <w:i/>
          <w:iCs/>
          <w:color w:val="595959"/>
          <w:sz w:val="17"/>
          <w:szCs w:val="17"/>
        </w:rPr>
        <w:t xml:space="preserve">    Req 12   ·   §7.10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Does: </w:t>
      </w:r>
      <w:r>
        <w:rPr>
          <w:sz w:val="18"/>
          <w:szCs w:val="18"/>
        </w:rPr>
        <w:t xml:space="preserve">Per-patient list of everything filled &amp; picked up across a rolling year.</w:t>
      </w:r>
    </w:p>
    <w:p>
      <w:pPr>
        <w:spacing w:after="26" w:line="264"/>
        <w:ind w:left="250"/>
      </w:pPr>
      <w:r>
        <w:rPr>
          <w:b/>
          <w:bCs/>
          <w:color w:val="33425C"/>
          <w:sz w:val="18"/>
          <w:szCs w:val="18"/>
        </w:rPr>
        <w:t xml:space="preserve">Rule: </w:t>
      </w:r>
      <w:r>
        <w:rPr>
          <w:sz w:val="18"/>
          <w:szCs w:val="18"/>
        </w:rPr>
        <w:t xml:space="preserve">Aggregate all retained periods by patient; include pickup / returned-to-stock status.</w:t>
      </w:r>
    </w:p>
    <w:p>
      <w:pPr>
        <w:spacing w:after="26" w:line="264"/>
        <w:ind w:left="250"/>
      </w:pPr>
      <w:r>
        <w:rPr>
          <w:b/>
          <w:bCs/>
          <w:color w:val="B5740A"/>
          <w:sz w:val="18"/>
          <w:szCs w:val="18"/>
        </w:rPr>
        <w:t xml:space="preserve">Watch: </w:t>
      </w:r>
      <w:r>
        <w:rPr>
          <w:sz w:val="18"/>
          <w:szCs w:val="18"/>
        </w:rPr>
        <w:t xml:space="preserve">REQUIRES 12 months of history + a pickup/sold/returned field (§5.3, §16). It is a completeness listing, not a pass/fail check.</w:t>
      </w:r>
    </w:p>
    <w:p>
      <w:pPr>
        <w:spacing w:after="26" w:line="264"/>
        <w:ind w:left="250"/>
      </w:pPr>
      <w:r>
        <w:rPr>
          <w:b/>
          <w:bCs/>
          <w:color w:val="2E7D32"/>
          <w:sz w:val="18"/>
          <w:szCs w:val="18"/>
        </w:rPr>
        <w:t xml:space="preserve">Out: </w:t>
      </w:r>
      <w:r>
        <w:rPr>
          <w:sz w:val="18"/>
          <w:szCs w:val="18"/>
        </w:rPr>
        <w:t xml:space="preserve">One section per patient → R6.</w:t>
      </w:r>
    </w:p>
    <w:p>
      <w:pPr>
        <w:pStyle w:val="Heading1"/>
      </w:pPr>
      <w:r>
        <w:t xml:space="preserve">4. Output reports — six deliverables</w:t>
      </w:r>
    </w:p>
    <w:p>
      <w:pPr>
        <w:spacing w:after="100" w:line="276"/>
        <w:jc w:val="left"/>
      </w:pPr>
      <w:r>
        <w:rPr>
          <w:i/>
          <w:iCs/>
          <w:color w:val="595959"/>
          <w:sz w:val="17"/>
          <w:szCs w:val="17"/>
        </w:rPr>
        <w:t xml:space="preserve">Each report is machine- and human-readable and stamped with run metadata (sources, reference-data versions, thresholds). Detail in §8. Tick when the report renders.</w:t>
      </w:r>
    </w:p>
    <w:tbl>
      <w:tblPr>
        <w:tblW w:type="dxa" w:w="9360"/>
        <w:tblBorders>
          <w:top w:val="single" w:color="C2CBD9" w:sz="4"/>
          <w:left w:val="single" w:color="C2CBD9" w:sz="4"/>
          <w:bottom w:val="single" w:color="C2CBD9" w:sz="4"/>
          <w:right w:val="single" w:color="C2CBD9" w:sz="4"/>
          <w:insideH w:val="single" w:color="C2CBD9" w:sz="4"/>
          <w:insideV w:val="single" w:color="C2CBD9" w:sz="4"/>
        </w:tblBorders>
      </w:tblPr>
      <w:tblGrid>
        <w:gridCol w:w="440"/>
        <w:gridCol w:w="820"/>
        <w:gridCol w:w="6180"/>
        <w:gridCol w:w="1180"/>
        <w:gridCol w:w="740"/>
      </w:tblGrid>
      <w:tr>
        <w:trPr>
          <w:tblHeader/>
        </w:trPr>
        <w:tc>
          <w:tcPr>
            <w:tcW w:type="dxa" w:w="44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618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in it</w:t>
            </w:r>
          </w:p>
        </w:tc>
        <w:tc>
          <w:tcPr>
            <w:tcW w:type="dxa" w:w="118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74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6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Per-line results of Modules A–D, each with a severity flag and a reason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A–D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§8.2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6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Patient+drug (and +insurance) counts, totals, and overlap flags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E, F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§8.3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6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Per-patient totals + per-drug / per-plan breakdown; unpaid / cash list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§8.4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6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One row per line where refills remaining = 0, sorted by run-out date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§8.5</w:t>
            </w:r>
          </w:p>
        </w:tc>
      </w:tr>
      <w:tr>
        <w:tc>
          <w:tcPr>
            <w:tcW w:type="dxa" w:w="4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6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Patients overdue on an expected maintenance refill</w:t>
            </w:r>
          </w:p>
        </w:tc>
        <w:tc>
          <w:tcPr>
            <w:tcW w:type="dxa" w:w="11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74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§8.6</w:t>
            </w:r>
          </w:p>
        </w:tc>
      </w:tr>
      <w:tr>
        <w:tc>
          <w:tcPr>
            <w:tcW w:type="dxa" w:w="4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E5496"/>
                <w:sz w:val="22"/>
                <w:szCs w:val="22"/>
              </w:rPr>
              <w:t xml:space="preserve">☐</w:t>
            </w:r>
          </w:p>
        </w:tc>
        <w:tc>
          <w:tcPr>
            <w:tcW w:type="dxa" w:w="82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6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 year of fills &amp; pickup status, one section per patient</w:t>
            </w:r>
          </w:p>
        </w:tc>
        <w:tc>
          <w:tcPr>
            <w:tcW w:type="dxa" w:w="118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74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§8.7</w:t>
            </w:r>
          </w:p>
        </w:tc>
      </w:tr>
    </w:tbl>
    <w:p>
      <w:pPr>
        <w:pStyle w:val="Heading1"/>
      </w:pPr>
      <w:r>
        <w:t xml:space="preserve">5. Severity flags</w:t>
      </w:r>
    </w:p>
    <w:p>
      <w:pPr>
        <w:spacing w:after="90" w:line="276"/>
        <w:jc w:val="left"/>
      </w:pPr>
      <w:r>
        <w:rPr>
          <w:i/>
          <w:iCs/>
          <w:color w:val="595959"/>
          <w:sz w:val="17"/>
          <w:szCs w:val="17"/>
        </w:rPr>
        <w:t xml:space="preserve">The single vocabulary used across R1 and the module outputs (§8.1).</w:t>
      </w:r>
    </w:p>
    <w:tbl>
      <w:tblPr>
        <w:tblW w:type="dxa" w:w="9360"/>
        <w:tblBorders>
          <w:top w:val="single" w:color="C2CBD9" w:sz="4"/>
          <w:left w:val="single" w:color="C2CBD9" w:sz="4"/>
          <w:bottom w:val="single" w:color="C2CBD9" w:sz="4"/>
          <w:right w:val="single" w:color="C2CBD9" w:sz="4"/>
          <w:insideH w:val="single" w:color="C2CBD9" w:sz="4"/>
          <w:insideV w:val="single" w:color="C2CBD9" w:sz="4"/>
        </w:tblBorders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7310"/>
            <w:shd w:fill="1F3864" w:val="clear"/>
            <w:tcMar>
              <w:top w:type="dxa" w:w="64"/>
              <w:left w:type="dxa" w:w="55"/>
              <w:bottom w:type="dxa" w:w="64"/>
              <w:right w:type="dxa" w:w="55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ERROR</w:t>
            </w:r>
          </w:p>
        </w:tc>
        <w:tc>
          <w:tcPr>
            <w:tcW w:type="dxa" w:w="731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Almost certainly wrong — must be reviewed / corrected.</w:t>
            </w:r>
          </w:p>
        </w:tc>
      </w:tr>
      <w:tr>
        <w:tc>
          <w:tcPr>
            <w:tcW w:type="dxa" w:w="205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5740A"/>
                <w:sz w:val="19"/>
                <w:szCs w:val="19"/>
              </w:rPr>
              <w:t xml:space="preserve">WARNING</w:t>
            </w:r>
          </w:p>
        </w:tc>
        <w:tc>
          <w:tcPr>
            <w:tcW w:type="dxa" w:w="731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Possibly wrong — worth a look (a worklist, not an automatic rejection).</w:t>
            </w:r>
          </w:p>
        </w:tc>
      </w:tr>
      <w:tr>
        <w:tc>
          <w:tcPr>
            <w:tcW w:type="dxa" w:w="20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INFO</w:t>
            </w:r>
          </w:p>
        </w:tc>
        <w:tc>
          <w:tcPr>
            <w:tcW w:type="dxa" w:w="731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Informational only — no action required.</w:t>
            </w:r>
          </w:p>
        </w:tc>
      </w:tr>
      <w:tr>
        <w:tc>
          <w:tcPr>
            <w:tcW w:type="dxa" w:w="205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  <w:tc>
          <w:tcPr>
            <w:tcW w:type="dxa" w:w="7310"/>
            <w:shd w:fill="F2F5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Check ran and the line is fine.</w:t>
            </w:r>
          </w:p>
        </w:tc>
      </w:tr>
      <w:tr>
        <w:tc>
          <w:tcPr>
            <w:tcW w:type="dxa" w:w="20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INDETERMINATE</w:t>
            </w:r>
          </w:p>
        </w:tc>
        <w:tc>
          <w:tcPr>
            <w:tcW w:type="dxa" w:w="731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Could not evaluate — missing reference data.</w:t>
            </w:r>
          </w:p>
        </w:tc>
      </w:tr>
    </w:tbl>
    <w:p>
      <w:pPr>
        <w:pStyle w:val="Heading1"/>
      </w:pPr>
      <w:r>
        <w:t xml:space="preserve">6. Definition of Done</w:t>
      </w:r>
    </w:p>
    <w:p>
      <w:pPr>
        <w:spacing w:after="60" w:line="276"/>
        <w:jc w:val="left"/>
      </w:pPr>
      <w:r>
        <w:rPr>
          <w:i/>
          <w:iCs/>
          <w:color w:val="595959"/>
          <w:sz w:val="17"/>
          <w:szCs w:val="17"/>
        </w:rPr>
        <w:t xml:space="preserve">The acceptance gate — condensed from §15. The build is complete when every box is ticked.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Importer ingests the agreed source format, round-trips every field, and quarantines any unparsed lines.</w:t>
      </w:r>
      <w:r>
        <w:rPr>
          <w:i/>
          <w:iCs/>
          <w:color w:val="595959"/>
          <w:sz w:val="17"/>
          <w:szCs w:val="17"/>
        </w:rPr>
        <w:t xml:space="preserve">  (§15.1)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Grand totals are recomputed independently of the printed totals, with a reconciliation note.</w:t>
      </w:r>
      <w:r>
        <w:rPr>
          <w:i/>
          <w:iCs/>
          <w:color w:val="595959"/>
          <w:sz w:val="17"/>
          <w:szCs w:val="17"/>
        </w:rPr>
        <w:t xml:space="preserve">  (§15.2)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Modules A–D emit a per-line result + severity + human-readable reason; ERROR cases are caught on seeded test data.</w:t>
      </w:r>
      <w:r>
        <w:rPr>
          <w:i/>
          <w:iCs/>
          <w:color w:val="595959"/>
          <w:sz w:val="17"/>
          <w:szCs w:val="17"/>
        </w:rPr>
        <w:t xml:space="preserve">  (§15.3)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Modules E &amp; F group, count, and flag overlapping fills correctly on a multi-period dataset.</w:t>
      </w:r>
      <w:r>
        <w:rPr>
          <w:i/>
          <w:iCs/>
          <w:color w:val="595959"/>
          <w:sz w:val="17"/>
          <w:szCs w:val="17"/>
        </w:rPr>
        <w:t xml:space="preserve">  (§15.4)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Module G reconciles per-patient totals back to the recomputed grand total.</w:t>
      </w:r>
      <w:r>
        <w:rPr>
          <w:i/>
          <w:iCs/>
          <w:color w:val="595959"/>
          <w:sz w:val="17"/>
          <w:szCs w:val="17"/>
        </w:rPr>
        <w:t xml:space="preserve">  (§15.5)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Module H produces R4 containing exactly the lines where refills remaining = 0.</w:t>
      </w:r>
      <w:r>
        <w:rPr>
          <w:i/>
          <w:iCs/>
          <w:color w:val="595959"/>
          <w:sz w:val="17"/>
          <w:szCs w:val="17"/>
        </w:rPr>
        <w:t xml:space="preserve">  (§15.6)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Modules I &amp; J run against retained history and clearly state when history is insufficient.</w:t>
      </w:r>
      <w:r>
        <w:rPr>
          <w:i/>
          <w:iCs/>
          <w:color w:val="595959"/>
          <w:sz w:val="17"/>
          <w:szCs w:val="17"/>
        </w:rPr>
        <w:t xml:space="preserve">  (§15.7)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All six reports render in the agreed formats, each stamped with run metadata.</w:t>
      </w:r>
      <w:r>
        <w:rPr>
          <w:i/>
          <w:iCs/>
          <w:color w:val="595959"/>
          <w:sz w:val="17"/>
          <w:szCs w:val="17"/>
        </w:rPr>
        <w:t xml:space="preserve">  (§15.8)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Thresholds are configurable via a config file; the PHI-handling controls are in place.</w:t>
      </w:r>
      <w:r>
        <w:rPr>
          <w:i/>
          <w:iCs/>
          <w:color w:val="595959"/>
          <w:sz w:val="17"/>
          <w:szCs w:val="17"/>
        </w:rPr>
        <w:t xml:space="preserve">  (§15.9, §13)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sz w:val="19"/>
          <w:szCs w:val="19"/>
        </w:rPr>
        <w:t xml:space="preserve">A short README documents how to run the pipeline, refresh reference data, and read the reports.</w:t>
      </w:r>
      <w:r>
        <w:rPr>
          <w:i/>
          <w:iCs/>
          <w:color w:val="595959"/>
          <w:sz w:val="17"/>
          <w:szCs w:val="17"/>
        </w:rPr>
        <w:t xml:space="preserve">  (§15.10)</w:t>
      </w:r>
    </w:p>
    <w:p>
      <w:pPr>
        <w:pStyle w:val="Heading1"/>
      </w:pPr>
      <w:r>
        <w:t xml:space="preserve">7. Answers needed from the stakeholder</w:t>
      </w:r>
    </w:p>
    <w:p>
      <w:pPr>
        <w:spacing w:after="60" w:line="276"/>
        <w:jc w:val="left"/>
      </w:pPr>
      <w:r>
        <w:rPr>
          <w:i/>
          <w:iCs/>
          <w:color w:val="595959"/>
          <w:sz w:val="17"/>
          <w:szCs w:val="17"/>
        </w:rPr>
        <w:t xml:space="preserve">These are to-dos too: chasing the answers de-risks the build and improves accuracy. Condensed from §16.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Structured export? </w:t>
      </w:r>
      <w:r>
        <w:rPr>
          <w:sz w:val="19"/>
          <w:szCs w:val="19"/>
        </w:rPr>
        <w:t xml:space="preserve">Can the data come out as CSV / extract (and which columns)? Removes PDF-parsing risk.</w:t>
      </w:r>
      <w:r>
        <w:rPr>
          <w:i/>
          <w:iCs/>
          <w:color w:val="595959"/>
          <w:sz w:val="17"/>
          <w:szCs w:val="17"/>
        </w:rPr>
        <w:t xml:space="preserve">  (§4.6)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Patient identifier? </w:t>
      </w:r>
      <w:r>
        <w:rPr>
          <w:sz w:val="19"/>
          <w:szCs w:val="19"/>
        </w:rPr>
        <w:t xml:space="preserve">Can a stable patient ID (and DOB) be supplied? Strongly improves E, F, G, I, J.</w:t>
      </w:r>
      <w:r>
        <w:rPr>
          <w:i/>
          <w:iCs/>
          <w:color w:val="595959"/>
          <w:sz w:val="17"/>
          <w:szCs w:val="17"/>
        </w:rPr>
        <w:t xml:space="preserve">  (§6.3)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SIG / directions? </w:t>
      </w:r>
      <w:r>
        <w:rPr>
          <w:sz w:val="19"/>
          <w:szCs w:val="19"/>
        </w:rPr>
        <w:t xml:space="preserve">Can the directions field be included? Makes Module D an exact check.</w:t>
      </w:r>
      <w:r>
        <w:rPr>
          <w:i/>
          <w:iCs/>
          <w:color w:val="595959"/>
          <w:sz w:val="17"/>
          <w:szCs w:val="17"/>
        </w:rPr>
        <w:t xml:space="preserve">  (§7.4)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‘Ref#’ meaning? </w:t>
      </w:r>
      <w:r>
        <w:rPr>
          <w:sz w:val="19"/>
          <w:szCs w:val="19"/>
        </w:rPr>
        <w:t xml:space="preserve">Confirm Ref# = refills remaining vs a refill sequence number.</w:t>
      </w:r>
      <w:r>
        <w:rPr>
          <w:i/>
          <w:iCs/>
          <w:color w:val="595959"/>
          <w:sz w:val="17"/>
          <w:szCs w:val="17"/>
        </w:rPr>
        <w:t xml:space="preserve">  (§6.6)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Package rule? </w:t>
      </w:r>
      <w:r>
        <w:rPr>
          <w:sz w:val="19"/>
          <w:szCs w:val="19"/>
        </w:rPr>
        <w:t xml:space="preserve">For Module C, which products must be whole-package only and which are bulk-dispensed?</w:t>
      </w:r>
      <w:r>
        <w:rPr>
          <w:i/>
          <w:iCs/>
          <w:color w:val="595959"/>
          <w:sz w:val="17"/>
          <w:szCs w:val="17"/>
        </w:rPr>
        <w:t xml:space="preserve">  (§7.3)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Pricing semantics? </w:t>
      </w:r>
      <w:r>
        <w:rPr>
          <w:sz w:val="19"/>
          <w:szCs w:val="19"/>
        </w:rPr>
        <w:t xml:space="preserve">What exactly are Price, Ins Paid, and Total Cost — is Price − Ins Paid truly patient responsibility?</w:t>
      </w:r>
      <w:r>
        <w:rPr>
          <w:i/>
          <w:iCs/>
          <w:color w:val="595959"/>
          <w:sz w:val="17"/>
          <w:szCs w:val="17"/>
        </w:rPr>
        <w:t xml:space="preserve">  (§6.7)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Pick-up status? </w:t>
      </w:r>
      <w:r>
        <w:rPr>
          <w:sz w:val="19"/>
          <w:szCs w:val="19"/>
        </w:rPr>
        <w:t xml:space="preserve">Is there a sold / picked-up / returned-to-stock field for Module J?</w:t>
      </w:r>
      <w:r>
        <w:rPr>
          <w:i/>
          <w:iCs/>
          <w:color w:val="595959"/>
          <w:sz w:val="17"/>
          <w:szCs w:val="17"/>
        </w:rPr>
        <w:t xml:space="preserve">  (§7.10)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History availability? </w:t>
      </w:r>
      <w:r>
        <w:rPr>
          <w:sz w:val="19"/>
          <w:szCs w:val="19"/>
        </w:rPr>
        <w:t xml:space="preserve">How many prior months can be supplied for Modules I &amp; J, and in what format?</w:t>
      </w:r>
      <w:r>
        <w:rPr>
          <w:i/>
          <w:iCs/>
          <w:color w:val="595959"/>
          <w:sz w:val="17"/>
          <w:szCs w:val="17"/>
        </w:rPr>
        <w:t xml:space="preserve">  (§5.3)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‘Maintenance’ + grace window? </w:t>
      </w:r>
      <w:r>
        <w:rPr>
          <w:sz w:val="19"/>
          <w:szCs w:val="19"/>
        </w:rPr>
        <w:t xml:space="preserve">How should the system decide a drug is maintenance, and what refill grace applies?</w:t>
      </w:r>
      <w:r>
        <w:rPr>
          <w:i/>
          <w:iCs/>
          <w:color w:val="595959"/>
          <w:sz w:val="17"/>
          <w:szCs w:val="17"/>
        </w:rPr>
        <w:t xml:space="preserve">  (§7.9)</w:t>
      </w:r>
    </w:p>
    <w:p>
      <w:pPr>
        <w:spacing w:after="62" w:line="266"/>
        <w:ind w:left="400" w:hanging="360"/>
      </w:pPr>
      <w:r>
        <w:rPr>
          <w:color w:val="2E5496"/>
          <w:sz w:val="22"/>
          <w:szCs w:val="22"/>
        </w:rPr>
        <w:t xml:space="preserve">☐ </w:t>
      </w:r>
      <w:r>
        <w:rPr>
          <w:b/>
          <w:bCs/>
        </w:rPr>
        <w:t xml:space="preserve">Prescriber identifiers? </w:t>
      </w:r>
      <w:r>
        <w:rPr>
          <w:sz w:val="19"/>
          <w:szCs w:val="19"/>
        </w:rPr>
        <w:t xml:space="preserve">Are NPI / DEA available if prescriber-level analytics are wanted later?</w:t>
      </w:r>
      <w:r>
        <w:rPr>
          <w:i/>
          <w:iCs/>
          <w:color w:val="595959"/>
          <w:sz w:val="17"/>
          <w:szCs w:val="17"/>
        </w:rPr>
        <w:t xml:space="preserve">  (§6.4)</w:t>
      </w:r>
    </w:p>
    <w:p>
      <w:pPr>
        <w:spacing w:after="60"/>
      </w:pPr>
      <w:r>
        <w:t xml:space="preserve"/>
      </w:r>
    </w:p>
    <w:p>
      <w:pPr>
        <w:spacing w:before="70"/>
        <w:jc w:val="center"/>
      </w:pPr>
      <w:r>
        <w:rPr>
          <w:i/>
          <w:iCs/>
          <w:color w:val="595959"/>
          <w:sz w:val="18"/>
          <w:szCs w:val="18"/>
        </w:rPr>
        <w:t xml:space="preserve">Summary only — the authoritative detail, pseudocode, and worked examples live in Drug_Dispensed_Report_Analysis_Spec.docx.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CBD9" w:sz="4" w:space="2"/>
      </w:pBd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Companion to the full specification</w:t>
    </w:r>
    <w:r>
      <w:rPr>
        <w:color w:val="595959"/>
        <w:sz w:val="16"/>
        <w:szCs w:val="16"/>
      </w:rPr>
      <w:t xml:space="preserve">	Confidential — PHI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CBD9" w:sz="4" w:space="2"/>
      </w:pBdr>
      <w:tabs>
        <w:tab w:val="right" w:pos="9360"/>
      </w:tabs>
    </w:pPr>
    <w:r>
      <w:rPr>
        <w:color w:val="595959"/>
        <w:sz w:val="16"/>
        <w:szCs w:val="16"/>
      </w:rPr>
      <w:t xml:space="preserve">Drug Dispensed Report — Cheat-Sheet &amp; Checklist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  <w:rPr>
        <w:color w:val="2E75B6"/>
      </w:rPr>
    </w:lvl>
    <w:lvl w:ilvl="1" w15:tentative="1">
      <w:start w:val="1"/>
      <w:numFmt w:val="bullet"/>
      <w:lvlText w:val="–"/>
      <w:lvlJc w:val="left"/>
      <w:pPr>
        <w:ind w:left="920" w:hanging="260"/>
      </w:pPr>
      <w:rPr>
        <w:color w:val="2E75B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30" w:before="30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 Dispensed Report — Validation Engine: Cheat-Sheet &amp; Production Checklist</dc:title>
  <dc:creator>Specification</dc:creator>
  <dc:description>Condensed companion checklist to the Drug Dispensed Report backend developer specification.</dc:description>
  <cp:lastModifiedBy>Un-named</cp:lastModifiedBy>
  <cp:revision>1</cp:revision>
  <dcterms:created xsi:type="dcterms:W3CDTF">2026-06-06T16:24:32.010Z</dcterms:created>
  <dcterms:modified xsi:type="dcterms:W3CDTF">2026-06-06T16:24:32.021Z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