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6037" w14:textId="01570157" w:rsidR="0058727F" w:rsidRDefault="00912E7D">
      <w:pPr>
        <w:rPr>
          <w:b/>
          <w:sz w:val="56"/>
        </w:rPr>
      </w:pPr>
      <w:r>
        <w:rPr>
          <w:b/>
          <w:sz w:val="56"/>
        </w:rPr>
        <w:t>Automated Error &amp; Fraud Detection in Pharmacy Dispense Reports</w:t>
      </w:r>
    </w:p>
    <w:p w14:paraId="4FA98799" w14:textId="35C3C84A" w:rsidR="00912E7D" w:rsidRDefault="00912E7D">
      <w:pPr>
        <w:rPr>
          <w:i/>
        </w:rPr>
      </w:pPr>
      <w:r>
        <w:rPr>
          <w:i/>
        </w:rPr>
        <w:t>A two-tier rule engine coupling pharmacy-domain business logic with privacy-preserving normalization and authoritative drug-directory reconciliation.</w:t>
      </w:r>
    </w:p>
    <w:p w14:paraId="7A423E38" w14:textId="77777777" w:rsidR="00912E7D" w:rsidRDefault="00912E7D">
      <w:pPr>
        <w:rPr>
          <w:i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912E7D" w14:paraId="0F5B3C25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6DB9813" w14:textId="0C665D7A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Product / System</w:t>
            </w:r>
          </w:p>
        </w:tc>
        <w:tc>
          <w:tcPr>
            <w:tcW w:w="4513" w:type="dxa"/>
          </w:tcPr>
          <w:p w14:paraId="1165F456" w14:textId="4E1CBBF4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Queue RX — Pharmacy Queue &amp; Dispense Management Platform</w:t>
            </w:r>
          </w:p>
        </w:tc>
      </w:tr>
      <w:tr w:rsidR="00912E7D" w14:paraId="2D27150C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A1F140F" w14:textId="3F63670B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Subsystem</w:t>
            </w:r>
          </w:p>
        </w:tc>
        <w:tc>
          <w:tcPr>
            <w:tcW w:w="4513" w:type="dxa"/>
          </w:tcPr>
          <w:p w14:paraId="55515B44" w14:textId="6374DDF2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Dispense Report Validation Engine (services/validation)</w:t>
            </w:r>
          </w:p>
        </w:tc>
      </w:tr>
      <w:tr w:rsidR="00912E7D" w14:paraId="0F938727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F5F42ED" w14:textId="15737BA9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Document type</w:t>
            </w:r>
          </w:p>
        </w:tc>
        <w:tc>
          <w:tcPr>
            <w:tcW w:w="4513" w:type="dxa"/>
          </w:tcPr>
          <w:p w14:paraId="14976893" w14:textId="0A5BC7B5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Technical disclosure for patent-filing evaluation</w:t>
            </w:r>
          </w:p>
        </w:tc>
      </w:tr>
      <w:tr w:rsidR="00912E7D" w14:paraId="09BF6D8E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9B49C0A" w14:textId="7E091EE7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Prepared for</w:t>
            </w:r>
          </w:p>
        </w:tc>
        <w:tc>
          <w:tcPr>
            <w:tcW w:w="4513" w:type="dxa"/>
          </w:tcPr>
          <w:p w14:paraId="10D3004E" w14:textId="3EF36DF1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Patent Counsel</w:t>
            </w:r>
          </w:p>
        </w:tc>
      </w:tr>
      <w:tr w:rsidR="00912E7D" w14:paraId="3E156906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FDAA36D" w14:textId="1BCD914B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13" w:type="dxa"/>
          </w:tcPr>
          <w:p w14:paraId="51BC40F9" w14:textId="384B9C73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14 July 2026</w:t>
            </w:r>
          </w:p>
        </w:tc>
      </w:tr>
      <w:tr w:rsidR="00912E7D" w14:paraId="3C365BA3" w14:textId="77777777" w:rsidTr="00912E7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66AD97B" w14:textId="47BDB614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4513" w:type="dxa"/>
          </w:tcPr>
          <w:p w14:paraId="5C261667" w14:textId="53FEEFFC" w:rsidR="00912E7D" w:rsidRDefault="00912E7D">
            <w:pPr>
              <w:rPr>
                <w:sz w:val="20"/>
              </w:rPr>
            </w:pPr>
            <w:r>
              <w:rPr>
                <w:sz w:val="20"/>
              </w:rPr>
              <w:t>1.1 (verified against live codebase)</w:t>
            </w:r>
          </w:p>
        </w:tc>
      </w:tr>
    </w:tbl>
    <w:p w14:paraId="473A0696" w14:textId="77777777" w:rsidR="00912E7D" w:rsidRDefault="00912E7D">
      <w:pPr>
        <w:rPr>
          <w:sz w:val="20"/>
        </w:rPr>
      </w:pPr>
    </w:p>
    <w:p w14:paraId="7D773475" w14:textId="77777777" w:rsidR="00912E7D" w:rsidRDefault="00912E7D">
      <w:pPr>
        <w:rPr>
          <w:sz w:val="20"/>
        </w:rPr>
      </w:pPr>
    </w:p>
    <w:p w14:paraId="4C1DBC81" w14:textId="02589ADF" w:rsidR="00912E7D" w:rsidRDefault="00912E7D">
      <w:pPr>
        <w:rPr>
          <w:sz w:val="18"/>
        </w:rPr>
      </w:pPr>
      <w:r>
        <w:rPr>
          <w:b/>
          <w:sz w:val="18"/>
        </w:rPr>
        <w:t>CONFIDENTIAL — ATTORNEY WORK PRODUCT PREPARATION.</w:t>
      </w:r>
      <w:r>
        <w:rPr>
          <w:sz w:val="18"/>
        </w:rPr>
        <w:t xml:space="preserve"> This document is an engineering disclosure prepared to assist patent counsel in assessing patentability and drafting claims. Sections 1–8, 11 describe the as-built software system as implemented in the codebase. Section 9 contains engineering analysis offered for counsel's independent evaluation. Section 10 presents an illustrative hypothetical example. No legal conclusion as to novelty, non-obviousness, or patentable subject matter is asserted.</w:t>
      </w:r>
    </w:p>
    <w:p w14:paraId="79BCE6E9" w14:textId="77777777" w:rsidR="00912E7D" w:rsidRDefault="00912E7D">
      <w:pPr>
        <w:rPr>
          <w:sz w:val="18"/>
        </w:rPr>
      </w:pPr>
    </w:p>
    <w:p w14:paraId="3C02DEEE" w14:textId="552F1C23" w:rsidR="00912E7D" w:rsidRDefault="00912E7D">
      <w:pPr>
        <w:rPr>
          <w:i/>
          <w:sz w:val="20"/>
        </w:rPr>
      </w:pPr>
      <w:r>
        <w:rPr>
          <w:i/>
          <w:sz w:val="20"/>
        </w:rPr>
        <w:t>NOTE: The full detailed sections (1-11) are available in the accompanying HTML file which can be opened in Word and formatted. The HTML version contains complete technical details, code examples, tables, and all legal disclaimers.</w:t>
      </w:r>
    </w:p>
    <w:p w14:paraId="308E6EFF" w14:textId="77777777" w:rsidR="00912E7D" w:rsidRDefault="00912E7D">
      <w:pPr>
        <w:rPr>
          <w:i/>
          <w:sz w:val="20"/>
        </w:rPr>
      </w:pPr>
    </w:p>
    <w:p w14:paraId="693BD1D2" w14:textId="36ED44F9" w:rsidR="00912E7D" w:rsidRDefault="00912E7D">
      <w:pPr>
        <w:rPr>
          <w:b/>
          <w:sz w:val="28"/>
        </w:rPr>
      </w:pPr>
      <w:r>
        <w:rPr>
          <w:b/>
          <w:sz w:val="28"/>
        </w:rPr>
        <w:t>Table of Contents</w:t>
      </w:r>
    </w:p>
    <w:p w14:paraId="75C9BE41" w14:textId="5794AF0F" w:rsidR="00912E7D" w:rsidRDefault="00912E7D">
      <w:pPr>
        <w:rPr>
          <w:sz w:val="20"/>
        </w:rPr>
      </w:pPr>
      <w:r>
        <w:rPr>
          <w:sz w:val="20"/>
        </w:rPr>
        <w:t>• 1 · Field of the Invention</w:t>
      </w:r>
    </w:p>
    <w:p w14:paraId="49F7C500" w14:textId="414D6273" w:rsidR="00912E7D" w:rsidRDefault="00912E7D">
      <w:pPr>
        <w:rPr>
          <w:sz w:val="20"/>
        </w:rPr>
      </w:pPr>
      <w:r>
        <w:rPr>
          <w:sz w:val="20"/>
        </w:rPr>
        <w:t>• 2 · Background &amp; Problem Addressed</w:t>
      </w:r>
    </w:p>
    <w:p w14:paraId="6E18D6ED" w14:textId="49FA3317" w:rsidR="00912E7D" w:rsidRDefault="00912E7D">
      <w:pPr>
        <w:rPr>
          <w:sz w:val="20"/>
        </w:rPr>
      </w:pPr>
      <w:r>
        <w:rPr>
          <w:sz w:val="20"/>
        </w:rPr>
        <w:t>• 3 · Summary of the System</w:t>
      </w:r>
    </w:p>
    <w:p w14:paraId="34E27C87" w14:textId="6FD015F1" w:rsidR="00912E7D" w:rsidRDefault="00912E7D">
      <w:pPr>
        <w:rPr>
          <w:sz w:val="20"/>
        </w:rPr>
      </w:pPr>
      <w:r>
        <w:rPr>
          <w:sz w:val="20"/>
        </w:rPr>
        <w:t>• 4 · End-to-End Pipeline Architecture</w:t>
      </w:r>
    </w:p>
    <w:p w14:paraId="56FAD448" w14:textId="6FAEB268" w:rsidR="00912E7D" w:rsidRDefault="00912E7D">
      <w:pPr>
        <w:rPr>
          <w:sz w:val="20"/>
        </w:rPr>
      </w:pPr>
      <w:r>
        <w:rPr>
          <w:sz w:val="20"/>
        </w:rPr>
        <w:t>• 5 · Foundational Normalization Primitives</w:t>
      </w:r>
    </w:p>
    <w:p w14:paraId="2A7A35F8" w14:textId="2D7527A3" w:rsidR="00912E7D" w:rsidRDefault="00912E7D">
      <w:pPr>
        <w:rPr>
          <w:sz w:val="20"/>
        </w:rPr>
      </w:pPr>
      <w:r>
        <w:rPr>
          <w:sz w:val="20"/>
        </w:rPr>
        <w:t>• 6 · The Detection Modules</w:t>
      </w:r>
    </w:p>
    <w:p w14:paraId="46916447" w14:textId="52C0CCFD" w:rsidR="00912E7D" w:rsidRDefault="00912E7D">
      <w:pPr>
        <w:rPr>
          <w:sz w:val="20"/>
        </w:rPr>
      </w:pPr>
      <w:r>
        <w:rPr>
          <w:sz w:val="20"/>
        </w:rPr>
        <w:t>• 7 · Severity Taxonomy &amp; the Persistence Gate</w:t>
      </w:r>
    </w:p>
    <w:p w14:paraId="0A409226" w14:textId="6A3373A0" w:rsidR="00912E7D" w:rsidRDefault="00912E7D">
      <w:pPr>
        <w:rPr>
          <w:sz w:val="20"/>
        </w:rPr>
      </w:pPr>
      <w:r>
        <w:rPr>
          <w:sz w:val="20"/>
        </w:rPr>
        <w:t>• 8 · Business-Logic × Technical-Logic Mapping</w:t>
      </w:r>
    </w:p>
    <w:p w14:paraId="1C0B1211" w14:textId="6FC0D3C4" w:rsidR="00912E7D" w:rsidRDefault="00912E7D">
      <w:pPr>
        <w:rPr>
          <w:sz w:val="20"/>
        </w:rPr>
      </w:pPr>
      <w:r>
        <w:rPr>
          <w:sz w:val="20"/>
        </w:rPr>
        <w:t>• 9 · Candidate Inventive Aspects (engineering analysis)</w:t>
      </w:r>
    </w:p>
    <w:p w14:paraId="46CE034F" w14:textId="6861CF1B" w:rsidR="00912E7D" w:rsidRDefault="00912E7D">
      <w:pPr>
        <w:rPr>
          <w:sz w:val="20"/>
        </w:rPr>
      </w:pPr>
      <w:r>
        <w:rPr>
          <w:sz w:val="20"/>
        </w:rPr>
        <w:t>• 10 · Illustrative Example (hypothetical walkthrough)</w:t>
      </w:r>
    </w:p>
    <w:p w14:paraId="0EA8E130" w14:textId="7FD395C5" w:rsidR="00912E7D" w:rsidRDefault="00912E7D">
      <w:pPr>
        <w:rPr>
          <w:sz w:val="20"/>
        </w:rPr>
      </w:pPr>
      <w:r>
        <w:rPr>
          <w:sz w:val="20"/>
        </w:rPr>
        <w:t>• 11 · Glossary</w:t>
      </w:r>
    </w:p>
    <w:p w14:paraId="088F6D51" w14:textId="77777777" w:rsidR="00912E7D" w:rsidRDefault="00912E7D">
      <w:pPr>
        <w:rPr>
          <w:sz w:val="20"/>
        </w:rPr>
      </w:pPr>
    </w:p>
    <w:p w14:paraId="12BB3AD5" w14:textId="77777777" w:rsidR="00912E7D" w:rsidRDefault="00912E7D">
      <w:pPr>
        <w:rPr>
          <w:sz w:val="20"/>
        </w:rPr>
      </w:pPr>
    </w:p>
    <w:p w14:paraId="51C8BAC7" w14:textId="1CB25194" w:rsidR="00912E7D" w:rsidRDefault="00912E7D">
      <w:pPr>
        <w:rPr>
          <w:b/>
          <w:sz w:val="20"/>
        </w:rPr>
      </w:pPr>
      <w:r>
        <w:rPr>
          <w:b/>
          <w:sz w:val="20"/>
        </w:rPr>
        <w:t>Opening the Full Document</w:t>
      </w:r>
    </w:p>
    <w:p w14:paraId="43663622" w14:textId="433783E7" w:rsidR="00912E7D" w:rsidRDefault="00912E7D">
      <w:pPr>
        <w:rPr>
          <w:sz w:val="20"/>
        </w:rPr>
      </w:pPr>
      <w:r>
        <w:rPr>
          <w:sz w:val="20"/>
        </w:rPr>
        <w:t>To access the complete patent disclosure with all technical details, code examples, and tables:</w:t>
      </w:r>
    </w:p>
    <w:p w14:paraId="065C1A48" w14:textId="1668F34E" w:rsidR="00912E7D" w:rsidRDefault="00912E7D">
      <w:pPr>
        <w:rPr>
          <w:sz w:val="20"/>
        </w:rPr>
      </w:pPr>
      <w:r>
        <w:rPr>
          <w:sz w:val="20"/>
        </w:rPr>
        <w:t>1. Navigate to: docs/dispense-error-detection-patent-disclosure.html</w:t>
      </w:r>
    </w:p>
    <w:p w14:paraId="767B91B5" w14:textId="7D91D3B2" w:rsidR="00912E7D" w:rsidRDefault="00912E7D">
      <w:pPr>
        <w:rPr>
          <w:sz w:val="20"/>
        </w:rPr>
      </w:pPr>
      <w:r>
        <w:rPr>
          <w:sz w:val="20"/>
        </w:rPr>
        <w:t>2. Open in Microsoft Word (File &gt; Open, select the HTML file)</w:t>
      </w:r>
    </w:p>
    <w:p w14:paraId="0A2E7459" w14:textId="33322066" w:rsidR="00912E7D" w:rsidRDefault="00912E7D">
      <w:pPr>
        <w:rPr>
          <w:sz w:val="20"/>
        </w:rPr>
      </w:pPr>
      <w:r>
        <w:rPr>
          <w:sz w:val="20"/>
        </w:rPr>
        <w:t>3. When Word opens it, click 'OK' on any dialog prompts</w:t>
      </w:r>
    </w:p>
    <w:p w14:paraId="31414CF9" w14:textId="3132C459" w:rsidR="00912E7D" w:rsidRDefault="00912E7D">
      <w:pPr>
        <w:rPr>
          <w:sz w:val="20"/>
        </w:rPr>
      </w:pPr>
      <w:r>
        <w:rPr>
          <w:sz w:val="20"/>
        </w:rPr>
        <w:t>4. File &gt; Save As &gt; Word Document (.docx) to convert to native format</w:t>
      </w:r>
    </w:p>
    <w:p w14:paraId="2EA59964" w14:textId="77777777" w:rsidR="00912E7D" w:rsidRDefault="00912E7D">
      <w:pPr>
        <w:rPr>
          <w:sz w:val="20"/>
        </w:rPr>
      </w:pPr>
    </w:p>
    <w:p w14:paraId="1BBAE727" w14:textId="6C428DCB" w:rsidR="00912E7D" w:rsidRDefault="00912E7D">
      <w:pPr>
        <w:rPr>
          <w:i/>
          <w:sz w:val="18"/>
        </w:rPr>
      </w:pPr>
      <w:r>
        <w:rPr>
          <w:i/>
          <w:sz w:val="18"/>
        </w:rPr>
        <w:t>The HTML file is professionally formatted for print and legal review, with clear labeling of fact vs. analysis, and all code examples properly syntax-highlighted. It is optimized for PDF export and attorney review.</w:t>
      </w:r>
    </w:p>
    <w:p w14:paraId="40B455B7" w14:textId="77777777" w:rsidR="00912E7D" w:rsidRPr="00912E7D" w:rsidRDefault="00912E7D">
      <w:pPr>
        <w:rPr>
          <w:i/>
          <w:sz w:val="18"/>
        </w:rPr>
      </w:pPr>
    </w:p>
    <w:sectPr w:rsidR="00912E7D" w:rsidRPr="00912E7D" w:rsidSect="002D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7D"/>
    <w:rsid w:val="0022726E"/>
    <w:rsid w:val="002D41AA"/>
    <w:rsid w:val="005072A3"/>
    <w:rsid w:val="0058727F"/>
    <w:rsid w:val="006F787D"/>
    <w:rsid w:val="00760826"/>
    <w:rsid w:val="00912E7D"/>
    <w:rsid w:val="00933C8E"/>
    <w:rsid w:val="00B0402A"/>
    <w:rsid w:val="00F3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A852"/>
  <w15:chartTrackingRefBased/>
  <w15:docId w15:val="{14959CF5-7295-4961-B288-84BE1C39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Devarshi Borisagar</dc:creator>
  <cp:keywords/>
  <dc:description/>
  <cp:lastModifiedBy>Devarshi Borisagar</cp:lastModifiedBy>
  <cp:revision>1</cp:revision>
  <dcterms:created xsi:type="dcterms:W3CDTF">2026-07-14T15:11:00Z</dcterms:created>
  <dcterms:modified xsi:type="dcterms:W3CDTF">2026-07-14T15:11:00Z</dcterms:modified>
</cp:coreProperties>
</file>