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37F" w:rsidRDefault="009A1DED">
      <w:pPr>
        <w:rPr>
          <w:b/>
          <w:sz w:val="24"/>
          <w:szCs w:val="24"/>
        </w:rPr>
      </w:pPr>
      <w:r w:rsidRPr="00B304D0">
        <w:rPr>
          <w:b/>
          <w:sz w:val="24"/>
          <w:szCs w:val="24"/>
        </w:rPr>
        <w:t>Credit card default</w:t>
      </w:r>
    </w:p>
    <w:p w:rsidR="002A7246" w:rsidRDefault="002A7246">
      <w:pPr>
        <w:rPr>
          <w:rStyle w:val="lookup-resultcontent"/>
          <w:rFonts w:ascii="Helvetica" w:hAnsi="Helvetica"/>
          <w:color w:val="505050"/>
        </w:rPr>
      </w:pPr>
      <w:proofErr w:type="spellStart"/>
      <w:r>
        <w:rPr>
          <w:rStyle w:val="lookup-resultcontent"/>
          <w:rFonts w:ascii="Helvetica" w:hAnsi="Helvetica"/>
          <w:color w:val="505050"/>
        </w:rPr>
        <w:t>Yeh</w:t>
      </w:r>
      <w:proofErr w:type="spellEnd"/>
      <w:r>
        <w:rPr>
          <w:rStyle w:val="lookup-resultcontent"/>
          <w:rFonts w:ascii="Helvetica" w:hAnsi="Helvetica"/>
          <w:color w:val="505050"/>
        </w:rPr>
        <w:t>, I.-C. (2016, January 26).</w:t>
      </w:r>
      <w:r>
        <w:rPr>
          <w:rStyle w:val="apple-converted-space"/>
          <w:rFonts w:ascii="Helvetica" w:hAnsi="Helvetica"/>
          <w:color w:val="505050"/>
        </w:rPr>
        <w:t> </w:t>
      </w:r>
      <w:r>
        <w:rPr>
          <w:rStyle w:val="lookup-resultcontent"/>
          <w:rFonts w:ascii="Helvetica" w:hAnsi="Helvetica"/>
          <w:i/>
          <w:iCs/>
          <w:color w:val="505050"/>
        </w:rPr>
        <w:t xml:space="preserve">UCI machine learning repository: Default of credit card </w:t>
      </w:r>
      <w:r w:rsidR="00A01EAF">
        <w:rPr>
          <w:rStyle w:val="lookup-resultcontent"/>
          <w:rFonts w:ascii="Helvetica" w:hAnsi="Helvetica"/>
          <w:i/>
          <w:iCs/>
          <w:color w:val="505050"/>
        </w:rPr>
        <w:t>client’s</w:t>
      </w:r>
      <w:r>
        <w:rPr>
          <w:rStyle w:val="lookup-resultcontent"/>
          <w:rFonts w:ascii="Helvetica" w:hAnsi="Helvetica"/>
          <w:i/>
          <w:iCs/>
          <w:color w:val="505050"/>
        </w:rPr>
        <w:t xml:space="preserve"> data set</w:t>
      </w:r>
      <w:r>
        <w:rPr>
          <w:rStyle w:val="lookup-resultcontent"/>
          <w:rFonts w:ascii="Helvetica" w:hAnsi="Helvetica"/>
          <w:color w:val="505050"/>
        </w:rPr>
        <w:t xml:space="preserve">. Retrieved September 13, 2016, from UCI Machine Learning Repository: Data Sets, </w:t>
      </w:r>
      <w:hyperlink r:id="rId5" w:history="1">
        <w:r w:rsidRPr="009A1523">
          <w:rPr>
            <w:rStyle w:val="Hyperlink"/>
            <w:rFonts w:ascii="Helvetica" w:hAnsi="Helvetica"/>
          </w:rPr>
          <w:t>https://archive.ics.uci.edu/ml/datasets/default+of+credit+card+clients</w:t>
        </w:r>
      </w:hyperlink>
    </w:p>
    <w:p w:rsidR="00A01EAF" w:rsidRDefault="00A01EAF">
      <w:pPr>
        <w:rPr>
          <w:rStyle w:val="lookup-resultcontent"/>
          <w:rFonts w:ascii="Helvetica" w:hAnsi="Helvetica"/>
          <w:color w:val="505050"/>
        </w:rPr>
      </w:pPr>
      <w:r>
        <w:rPr>
          <w:rStyle w:val="lookup-resultcontent"/>
          <w:rFonts w:ascii="Helvetica" w:hAnsi="Helvetica"/>
          <w:color w:val="505050"/>
        </w:rPr>
        <w:t>License: License not required</w:t>
      </w:r>
    </w:p>
    <w:p w:rsidR="00663BA0" w:rsidRPr="00AC65E0" w:rsidRDefault="00663BA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C65E0">
        <w:rPr>
          <w:sz w:val="24"/>
          <w:szCs w:val="24"/>
        </w:rPr>
        <w:t xml:space="preserve">he number of </w:t>
      </w:r>
      <w:r>
        <w:rPr>
          <w:sz w:val="24"/>
          <w:szCs w:val="24"/>
        </w:rPr>
        <w:t xml:space="preserve">transactions executed using </w:t>
      </w:r>
      <w:r w:rsidRPr="00AC65E0">
        <w:rPr>
          <w:sz w:val="24"/>
          <w:szCs w:val="24"/>
        </w:rPr>
        <w:t>credit cards are way higher than that of transactions done in cash.</w:t>
      </w:r>
      <w:r>
        <w:rPr>
          <w:sz w:val="24"/>
          <w:szCs w:val="24"/>
        </w:rPr>
        <w:t xml:space="preserve"> </w:t>
      </w:r>
      <w:r w:rsidRPr="00AC65E0">
        <w:rPr>
          <w:sz w:val="24"/>
          <w:szCs w:val="24"/>
        </w:rPr>
        <w:t xml:space="preserve">According to survey details on </w:t>
      </w:r>
      <w:hyperlink r:id="rId6" w:history="1">
        <w:r w:rsidRPr="00AC65E0">
          <w:rPr>
            <w:rStyle w:val="Hyperlink"/>
            <w:sz w:val="24"/>
            <w:szCs w:val="24"/>
          </w:rPr>
          <w:t>http://www.creditcards.com/</w:t>
        </w:r>
      </w:hyperlink>
      <w:r>
        <w:rPr>
          <w:sz w:val="24"/>
          <w:szCs w:val="24"/>
        </w:rPr>
        <w:t xml:space="preserve"> given below</w:t>
      </w:r>
      <w:r>
        <w:rPr>
          <w:sz w:val="24"/>
          <w:szCs w:val="24"/>
        </w:rPr>
        <w:t xml:space="preserve">, </w:t>
      </w:r>
      <w:r w:rsidRPr="00AC65E0">
        <w:rPr>
          <w:sz w:val="24"/>
          <w:szCs w:val="24"/>
        </w:rPr>
        <w:t xml:space="preserve">the statistics show that the </w:t>
      </w:r>
      <w:r>
        <w:rPr>
          <w:sz w:val="24"/>
          <w:szCs w:val="24"/>
        </w:rPr>
        <w:t>preferred method of online shopping payment is credit cards.</w:t>
      </w:r>
      <w:r>
        <w:rPr>
          <w:sz w:val="24"/>
          <w:szCs w:val="24"/>
        </w:rPr>
        <w:t xml:space="preserve"> </w:t>
      </w:r>
      <w:r w:rsidR="001045A0">
        <w:rPr>
          <w:sz w:val="24"/>
          <w:szCs w:val="24"/>
        </w:rPr>
        <w:t xml:space="preserve">The data set consists of </w:t>
      </w:r>
      <w:r w:rsidR="00A01EAF">
        <w:rPr>
          <w:sz w:val="24"/>
          <w:szCs w:val="24"/>
        </w:rPr>
        <w:t xml:space="preserve">credit card payment history details for </w:t>
      </w:r>
      <w:r w:rsidR="002A7246">
        <w:rPr>
          <w:sz w:val="24"/>
          <w:szCs w:val="24"/>
        </w:rPr>
        <w:t>individuals in Taiwan for the year 2005.</w:t>
      </w:r>
      <w:r>
        <w:rPr>
          <w:sz w:val="24"/>
          <w:szCs w:val="24"/>
        </w:rPr>
        <w:t xml:space="preserve"> The data contains details regarding the limit balance, personal details, bill amount and amount paid for a period of 5 consecutive months.</w:t>
      </w:r>
      <w:r w:rsidR="00A01E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increasing use of credit cards </w:t>
      </w:r>
      <w:bookmarkStart w:id="0" w:name="_GoBack"/>
      <w:bookmarkEnd w:id="0"/>
      <w:r>
        <w:rPr>
          <w:sz w:val="24"/>
          <w:szCs w:val="24"/>
        </w:rPr>
        <w:t>and predicting the risk of customer credit default by analyzing the data makes the data set interesting.</w:t>
      </w:r>
    </w:p>
    <w:tbl>
      <w:tblPr>
        <w:tblStyle w:val="TableGrid"/>
        <w:tblpPr w:leftFromText="180" w:rightFromText="180" w:vertAnchor="page" w:horzAnchor="margin" w:tblpY="6171"/>
        <w:tblW w:w="0" w:type="auto"/>
        <w:tblLook w:val="04A0" w:firstRow="1" w:lastRow="0" w:firstColumn="1" w:lastColumn="0" w:noHBand="0" w:noVBand="1"/>
      </w:tblPr>
      <w:tblGrid>
        <w:gridCol w:w="3086"/>
        <w:gridCol w:w="1484"/>
        <w:gridCol w:w="1485"/>
      </w:tblGrid>
      <w:tr w:rsidR="00663BA0" w:rsidRPr="00AC65E0" w:rsidTr="00663BA0">
        <w:trPr>
          <w:trHeight w:val="346"/>
        </w:trPr>
        <w:tc>
          <w:tcPr>
            <w:tcW w:w="6055" w:type="dxa"/>
            <w:gridSpan w:val="3"/>
            <w:noWrap/>
            <w:hideMark/>
          </w:tcPr>
          <w:p w:rsidR="00663BA0" w:rsidRDefault="00663BA0" w:rsidP="00663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:rsidR="00663BA0" w:rsidRDefault="00663BA0" w:rsidP="00663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AC65E0">
              <w:rPr>
                <w:sz w:val="24"/>
                <w:szCs w:val="24"/>
              </w:rPr>
              <w:t>Online shopping preferred payment Method</w:t>
            </w:r>
          </w:p>
          <w:p w:rsidR="00663BA0" w:rsidRPr="00AC65E0" w:rsidRDefault="00663BA0" w:rsidP="00663BA0">
            <w:pPr>
              <w:rPr>
                <w:sz w:val="24"/>
                <w:szCs w:val="24"/>
              </w:rPr>
            </w:pPr>
          </w:p>
        </w:tc>
      </w:tr>
      <w:tr w:rsidR="00663BA0" w:rsidRPr="00AC65E0" w:rsidTr="00663BA0">
        <w:trPr>
          <w:trHeight w:val="610"/>
        </w:trPr>
        <w:tc>
          <w:tcPr>
            <w:tcW w:w="3086" w:type="dxa"/>
            <w:hideMark/>
          </w:tcPr>
          <w:p w:rsidR="00663BA0" w:rsidRPr="00AC65E0" w:rsidRDefault="00663BA0" w:rsidP="00663BA0">
            <w:pPr>
              <w:rPr>
                <w:b/>
                <w:bCs/>
                <w:sz w:val="24"/>
                <w:szCs w:val="24"/>
              </w:rPr>
            </w:pPr>
            <w:r w:rsidRPr="00AC65E0">
              <w:rPr>
                <w:b/>
                <w:bCs/>
                <w:sz w:val="24"/>
                <w:szCs w:val="24"/>
              </w:rPr>
              <w:t>Payment type</w:t>
            </w:r>
          </w:p>
        </w:tc>
        <w:tc>
          <w:tcPr>
            <w:tcW w:w="1484" w:type="dxa"/>
            <w:hideMark/>
          </w:tcPr>
          <w:p w:rsidR="00663BA0" w:rsidRPr="00AC65E0" w:rsidRDefault="00663BA0" w:rsidP="00663BA0">
            <w:pPr>
              <w:rPr>
                <w:b/>
                <w:bCs/>
                <w:sz w:val="24"/>
                <w:szCs w:val="24"/>
              </w:rPr>
            </w:pPr>
            <w:r w:rsidRPr="00AC65E0">
              <w:rPr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1485" w:type="dxa"/>
            <w:hideMark/>
          </w:tcPr>
          <w:p w:rsidR="00663BA0" w:rsidRPr="00AC65E0" w:rsidRDefault="00663BA0" w:rsidP="00663BA0">
            <w:pPr>
              <w:rPr>
                <w:b/>
                <w:bCs/>
                <w:sz w:val="24"/>
                <w:szCs w:val="24"/>
              </w:rPr>
            </w:pPr>
            <w:r w:rsidRPr="00AC65E0">
              <w:rPr>
                <w:b/>
                <w:bCs/>
                <w:sz w:val="24"/>
                <w:szCs w:val="24"/>
              </w:rPr>
              <w:t>2014</w:t>
            </w:r>
          </w:p>
        </w:tc>
      </w:tr>
      <w:tr w:rsidR="00663BA0" w:rsidRPr="00AC65E0" w:rsidTr="00663BA0">
        <w:trPr>
          <w:trHeight w:val="610"/>
        </w:trPr>
        <w:tc>
          <w:tcPr>
            <w:tcW w:w="3086" w:type="dxa"/>
            <w:hideMark/>
          </w:tcPr>
          <w:p w:rsidR="00663BA0" w:rsidRPr="00AC65E0" w:rsidRDefault="00663BA0" w:rsidP="00663BA0">
            <w:pPr>
              <w:rPr>
                <w:b/>
                <w:bCs/>
                <w:sz w:val="24"/>
                <w:szCs w:val="24"/>
              </w:rPr>
            </w:pPr>
            <w:r w:rsidRPr="00AC65E0">
              <w:rPr>
                <w:b/>
                <w:bCs/>
                <w:sz w:val="24"/>
                <w:szCs w:val="24"/>
              </w:rPr>
              <w:t>Credit card</w:t>
            </w:r>
          </w:p>
        </w:tc>
        <w:tc>
          <w:tcPr>
            <w:tcW w:w="1484" w:type="dxa"/>
            <w:hideMark/>
          </w:tcPr>
          <w:p w:rsidR="00663BA0" w:rsidRPr="00AC65E0" w:rsidRDefault="00663BA0" w:rsidP="00663BA0">
            <w:pPr>
              <w:rPr>
                <w:sz w:val="24"/>
                <w:szCs w:val="24"/>
              </w:rPr>
            </w:pPr>
            <w:r w:rsidRPr="00AC65E0">
              <w:rPr>
                <w:sz w:val="24"/>
                <w:szCs w:val="24"/>
              </w:rPr>
              <w:t>41%</w:t>
            </w:r>
          </w:p>
        </w:tc>
        <w:tc>
          <w:tcPr>
            <w:tcW w:w="1485" w:type="dxa"/>
            <w:hideMark/>
          </w:tcPr>
          <w:p w:rsidR="00663BA0" w:rsidRPr="00AC65E0" w:rsidRDefault="00663BA0" w:rsidP="00663BA0">
            <w:pPr>
              <w:rPr>
                <w:sz w:val="24"/>
                <w:szCs w:val="24"/>
              </w:rPr>
            </w:pPr>
            <w:r w:rsidRPr="00AC65E0">
              <w:rPr>
                <w:sz w:val="24"/>
                <w:szCs w:val="24"/>
              </w:rPr>
              <w:t>48%</w:t>
            </w:r>
          </w:p>
        </w:tc>
      </w:tr>
      <w:tr w:rsidR="00663BA0" w:rsidRPr="00AC65E0" w:rsidTr="00663BA0">
        <w:trPr>
          <w:trHeight w:val="610"/>
        </w:trPr>
        <w:tc>
          <w:tcPr>
            <w:tcW w:w="3086" w:type="dxa"/>
            <w:hideMark/>
          </w:tcPr>
          <w:p w:rsidR="00663BA0" w:rsidRPr="00AC65E0" w:rsidRDefault="00663BA0" w:rsidP="00663BA0">
            <w:pPr>
              <w:rPr>
                <w:b/>
                <w:bCs/>
                <w:sz w:val="24"/>
                <w:szCs w:val="24"/>
              </w:rPr>
            </w:pPr>
            <w:r w:rsidRPr="00AC65E0">
              <w:rPr>
                <w:b/>
                <w:bCs/>
                <w:sz w:val="24"/>
                <w:szCs w:val="24"/>
              </w:rPr>
              <w:t>Debit card</w:t>
            </w:r>
          </w:p>
        </w:tc>
        <w:tc>
          <w:tcPr>
            <w:tcW w:w="1484" w:type="dxa"/>
            <w:hideMark/>
          </w:tcPr>
          <w:p w:rsidR="00663BA0" w:rsidRPr="00AC65E0" w:rsidRDefault="00663BA0" w:rsidP="00663BA0">
            <w:pPr>
              <w:rPr>
                <w:sz w:val="24"/>
                <w:szCs w:val="24"/>
              </w:rPr>
            </w:pPr>
            <w:r w:rsidRPr="00AC65E0">
              <w:rPr>
                <w:sz w:val="24"/>
                <w:szCs w:val="24"/>
              </w:rPr>
              <w:t>22%</w:t>
            </w:r>
          </w:p>
        </w:tc>
        <w:tc>
          <w:tcPr>
            <w:tcW w:w="1485" w:type="dxa"/>
            <w:hideMark/>
          </w:tcPr>
          <w:p w:rsidR="00663BA0" w:rsidRPr="00AC65E0" w:rsidRDefault="00663BA0" w:rsidP="00663BA0">
            <w:pPr>
              <w:rPr>
                <w:sz w:val="24"/>
                <w:szCs w:val="24"/>
              </w:rPr>
            </w:pPr>
            <w:r w:rsidRPr="00AC65E0">
              <w:rPr>
                <w:sz w:val="24"/>
                <w:szCs w:val="24"/>
              </w:rPr>
              <w:t>30%</w:t>
            </w:r>
          </w:p>
        </w:tc>
      </w:tr>
      <w:tr w:rsidR="00663BA0" w:rsidRPr="00AC65E0" w:rsidTr="00663BA0">
        <w:trPr>
          <w:trHeight w:val="443"/>
        </w:trPr>
        <w:tc>
          <w:tcPr>
            <w:tcW w:w="3086" w:type="dxa"/>
            <w:hideMark/>
          </w:tcPr>
          <w:p w:rsidR="00663BA0" w:rsidRDefault="00663BA0" w:rsidP="00663BA0">
            <w:pPr>
              <w:rPr>
                <w:b/>
                <w:bCs/>
                <w:sz w:val="24"/>
                <w:szCs w:val="24"/>
              </w:rPr>
            </w:pPr>
            <w:r w:rsidRPr="00AC65E0">
              <w:rPr>
                <w:b/>
                <w:bCs/>
                <w:sz w:val="24"/>
                <w:szCs w:val="24"/>
              </w:rPr>
              <w:t>PayPal</w:t>
            </w:r>
          </w:p>
          <w:p w:rsidR="00663BA0" w:rsidRPr="00AC65E0" w:rsidRDefault="00663BA0" w:rsidP="00663B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4" w:type="dxa"/>
            <w:hideMark/>
          </w:tcPr>
          <w:p w:rsidR="00663BA0" w:rsidRPr="00AC65E0" w:rsidRDefault="00663BA0" w:rsidP="00663BA0">
            <w:pPr>
              <w:rPr>
                <w:sz w:val="24"/>
                <w:szCs w:val="24"/>
              </w:rPr>
            </w:pPr>
            <w:r w:rsidRPr="00AC65E0">
              <w:rPr>
                <w:sz w:val="24"/>
                <w:szCs w:val="24"/>
              </w:rPr>
              <w:t>22%</w:t>
            </w:r>
          </w:p>
        </w:tc>
        <w:tc>
          <w:tcPr>
            <w:tcW w:w="1485" w:type="dxa"/>
            <w:hideMark/>
          </w:tcPr>
          <w:p w:rsidR="00663BA0" w:rsidRPr="00AC65E0" w:rsidRDefault="00663BA0" w:rsidP="00663BA0">
            <w:pPr>
              <w:rPr>
                <w:sz w:val="24"/>
                <w:szCs w:val="24"/>
              </w:rPr>
            </w:pPr>
            <w:r w:rsidRPr="00AC65E0">
              <w:rPr>
                <w:sz w:val="24"/>
                <w:szCs w:val="24"/>
              </w:rPr>
              <w:t>12%</w:t>
            </w:r>
          </w:p>
        </w:tc>
      </w:tr>
    </w:tbl>
    <w:p w:rsidR="00655C79" w:rsidRPr="00AC65E0" w:rsidRDefault="00655C79">
      <w:pPr>
        <w:rPr>
          <w:sz w:val="24"/>
          <w:szCs w:val="24"/>
        </w:rPr>
      </w:pPr>
    </w:p>
    <w:p w:rsidR="00CF22C6" w:rsidRPr="00AC65E0" w:rsidRDefault="00CF22C6">
      <w:pPr>
        <w:rPr>
          <w:sz w:val="24"/>
          <w:szCs w:val="24"/>
        </w:rPr>
      </w:pPr>
    </w:p>
    <w:p w:rsidR="00855FC6" w:rsidRPr="00AC65E0" w:rsidRDefault="00855FC6">
      <w:pPr>
        <w:rPr>
          <w:sz w:val="24"/>
          <w:szCs w:val="24"/>
        </w:rPr>
      </w:pPr>
    </w:p>
    <w:p w:rsidR="00855FC6" w:rsidRPr="00AC65E0" w:rsidRDefault="00855FC6">
      <w:pPr>
        <w:rPr>
          <w:sz w:val="24"/>
          <w:szCs w:val="24"/>
        </w:rPr>
      </w:pPr>
    </w:p>
    <w:p w:rsidR="00855FC6" w:rsidRPr="00AC65E0" w:rsidRDefault="00855FC6">
      <w:pPr>
        <w:rPr>
          <w:sz w:val="24"/>
          <w:szCs w:val="24"/>
        </w:rPr>
      </w:pPr>
    </w:p>
    <w:p w:rsidR="00855FC6" w:rsidRDefault="00855FC6">
      <w:pPr>
        <w:rPr>
          <w:sz w:val="24"/>
          <w:szCs w:val="24"/>
        </w:rPr>
      </w:pPr>
    </w:p>
    <w:p w:rsidR="004C7B6B" w:rsidRDefault="004C7B6B">
      <w:pPr>
        <w:rPr>
          <w:sz w:val="24"/>
          <w:szCs w:val="24"/>
        </w:rPr>
      </w:pPr>
    </w:p>
    <w:p w:rsidR="004C7B6B" w:rsidRDefault="004C7B6B">
      <w:pPr>
        <w:rPr>
          <w:sz w:val="24"/>
          <w:szCs w:val="24"/>
        </w:rPr>
      </w:pPr>
    </w:p>
    <w:p w:rsidR="00855FC6" w:rsidRDefault="003E732C">
      <w:p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:rsidR="00AC65E0" w:rsidRPr="003E732C" w:rsidRDefault="00AC65E0" w:rsidP="003E7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732C">
        <w:rPr>
          <w:sz w:val="24"/>
          <w:szCs w:val="24"/>
        </w:rPr>
        <w:t>Rel</w:t>
      </w:r>
      <w:r w:rsidR="00EA4824" w:rsidRPr="003E732C">
        <w:rPr>
          <w:sz w:val="24"/>
          <w:szCs w:val="24"/>
        </w:rPr>
        <w:t>ationship between human factors</w:t>
      </w:r>
      <w:r w:rsidR="003E732C" w:rsidRPr="003E732C">
        <w:rPr>
          <w:sz w:val="24"/>
          <w:szCs w:val="24"/>
        </w:rPr>
        <w:t xml:space="preserve"> </w:t>
      </w:r>
      <w:r w:rsidR="00EA4824" w:rsidRPr="003E732C">
        <w:rPr>
          <w:sz w:val="24"/>
          <w:szCs w:val="24"/>
        </w:rPr>
        <w:t>(Sex,</w:t>
      </w:r>
      <w:r w:rsidR="003E732C" w:rsidRPr="003E732C">
        <w:rPr>
          <w:sz w:val="24"/>
          <w:szCs w:val="24"/>
        </w:rPr>
        <w:t xml:space="preserve"> </w:t>
      </w:r>
      <w:r w:rsidR="00EA4824" w:rsidRPr="003E732C">
        <w:rPr>
          <w:sz w:val="24"/>
          <w:szCs w:val="24"/>
        </w:rPr>
        <w:t>Education,</w:t>
      </w:r>
      <w:r w:rsidR="003E732C" w:rsidRPr="003E732C">
        <w:rPr>
          <w:sz w:val="24"/>
          <w:szCs w:val="24"/>
        </w:rPr>
        <w:t xml:space="preserve"> </w:t>
      </w:r>
      <w:r w:rsidR="00EA4824" w:rsidRPr="003E732C">
        <w:rPr>
          <w:sz w:val="24"/>
          <w:szCs w:val="24"/>
        </w:rPr>
        <w:t>Marriage,</w:t>
      </w:r>
      <w:r w:rsidR="003E732C" w:rsidRPr="003E732C">
        <w:rPr>
          <w:sz w:val="24"/>
          <w:szCs w:val="24"/>
        </w:rPr>
        <w:t xml:space="preserve"> </w:t>
      </w:r>
      <w:proofErr w:type="gramStart"/>
      <w:r w:rsidR="00EA4824" w:rsidRPr="003E732C">
        <w:rPr>
          <w:sz w:val="24"/>
          <w:szCs w:val="24"/>
        </w:rPr>
        <w:t>Age</w:t>
      </w:r>
      <w:proofErr w:type="gramEnd"/>
      <w:r w:rsidR="00EA4824" w:rsidRPr="003E732C">
        <w:rPr>
          <w:sz w:val="24"/>
          <w:szCs w:val="24"/>
        </w:rPr>
        <w:t>)</w:t>
      </w:r>
      <w:r w:rsidRPr="003E732C">
        <w:rPr>
          <w:sz w:val="24"/>
          <w:szCs w:val="24"/>
        </w:rPr>
        <w:t xml:space="preserve"> and payment</w:t>
      </w:r>
      <w:r w:rsidR="003E732C" w:rsidRPr="003E732C">
        <w:rPr>
          <w:sz w:val="24"/>
          <w:szCs w:val="24"/>
        </w:rPr>
        <w:t xml:space="preserve"> default</w:t>
      </w:r>
      <w:r w:rsidRPr="003E732C">
        <w:rPr>
          <w:sz w:val="24"/>
          <w:szCs w:val="24"/>
        </w:rPr>
        <w:t>?</w:t>
      </w:r>
    </w:p>
    <w:p w:rsidR="00EA4824" w:rsidRPr="003E732C" w:rsidRDefault="00EA4824" w:rsidP="003E7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732C">
        <w:rPr>
          <w:sz w:val="24"/>
          <w:szCs w:val="24"/>
        </w:rPr>
        <w:t>Does higher limit balance on a credit card</w:t>
      </w:r>
      <w:r w:rsidR="003E732C" w:rsidRPr="003E732C">
        <w:rPr>
          <w:sz w:val="24"/>
          <w:szCs w:val="24"/>
        </w:rPr>
        <w:t xml:space="preserve"> predict higher frequency of payment default?</w:t>
      </w:r>
    </w:p>
    <w:p w:rsidR="009A1DED" w:rsidRPr="00663BA0" w:rsidRDefault="00EA4824" w:rsidP="00B30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732C">
        <w:rPr>
          <w:sz w:val="24"/>
          <w:szCs w:val="24"/>
        </w:rPr>
        <w:t xml:space="preserve">Predict the </w:t>
      </w:r>
      <w:r w:rsidR="00C70A36">
        <w:rPr>
          <w:sz w:val="24"/>
          <w:szCs w:val="24"/>
        </w:rPr>
        <w:t>risk of customer credit default?</w:t>
      </w:r>
    </w:p>
    <w:p w:rsidR="004D7AA3" w:rsidRDefault="004D7AA3" w:rsidP="001045A0">
      <w:pPr>
        <w:rPr>
          <w:b/>
          <w:sz w:val="24"/>
          <w:szCs w:val="24"/>
        </w:rPr>
      </w:pPr>
    </w:p>
    <w:p w:rsidR="004D7AA3" w:rsidRDefault="004D7AA3" w:rsidP="001045A0">
      <w:pPr>
        <w:rPr>
          <w:b/>
          <w:sz w:val="24"/>
          <w:szCs w:val="24"/>
        </w:rPr>
      </w:pPr>
    </w:p>
    <w:p w:rsidR="004D7AA3" w:rsidRDefault="004D7AA3" w:rsidP="001045A0">
      <w:pPr>
        <w:rPr>
          <w:b/>
          <w:sz w:val="24"/>
          <w:szCs w:val="24"/>
        </w:rPr>
      </w:pPr>
    </w:p>
    <w:p w:rsidR="004D7AA3" w:rsidRDefault="004D7AA3" w:rsidP="001045A0">
      <w:pPr>
        <w:rPr>
          <w:b/>
          <w:sz w:val="24"/>
          <w:szCs w:val="24"/>
        </w:rPr>
      </w:pPr>
    </w:p>
    <w:p w:rsidR="004D7AA3" w:rsidRDefault="004D7AA3" w:rsidP="001045A0">
      <w:pPr>
        <w:rPr>
          <w:b/>
          <w:sz w:val="24"/>
          <w:szCs w:val="24"/>
        </w:rPr>
      </w:pPr>
    </w:p>
    <w:p w:rsidR="004D7AA3" w:rsidRDefault="004D7AA3" w:rsidP="001045A0">
      <w:pPr>
        <w:rPr>
          <w:b/>
          <w:sz w:val="24"/>
          <w:szCs w:val="24"/>
        </w:rPr>
      </w:pPr>
    </w:p>
    <w:p w:rsidR="004D7AA3" w:rsidRDefault="004D7AA3" w:rsidP="001045A0">
      <w:pPr>
        <w:rPr>
          <w:b/>
          <w:sz w:val="24"/>
          <w:szCs w:val="24"/>
        </w:rPr>
      </w:pPr>
    </w:p>
    <w:p w:rsidR="0000249F" w:rsidRDefault="004D7AA3" w:rsidP="001045A0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 xml:space="preserve">Dataset-2: </w:t>
      </w:r>
      <w:r w:rsidR="00B304D0">
        <w:rPr>
          <w:b/>
          <w:sz w:val="24"/>
          <w:szCs w:val="24"/>
        </w:rPr>
        <w:t>Consumer Complaint Database</w:t>
      </w:r>
      <w:r w:rsidR="009C449E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</w:p>
    <w:p w:rsidR="004D7AA3" w:rsidRDefault="004D7AA3" w:rsidP="001045A0">
      <w:pPr>
        <w:rPr>
          <w:rStyle w:val="lookup-resultcontent"/>
          <w:rFonts w:ascii="Helvetica" w:hAnsi="Helvetica"/>
          <w:color w:val="505050"/>
        </w:rPr>
      </w:pPr>
      <w:r>
        <w:rPr>
          <w:rStyle w:val="lookup-resultcontent"/>
          <w:rFonts w:ascii="Helvetica" w:hAnsi="Helvetica"/>
          <w:color w:val="505050"/>
        </w:rPr>
        <w:t>Consumer Financial Protection Bureau. (2013, November 06).</w:t>
      </w:r>
      <w:r>
        <w:rPr>
          <w:rStyle w:val="apple-converted-space"/>
          <w:rFonts w:ascii="Helvetica" w:hAnsi="Helvetica"/>
          <w:color w:val="505050"/>
        </w:rPr>
        <w:t> </w:t>
      </w:r>
      <w:r>
        <w:rPr>
          <w:rStyle w:val="lookup-resultcontent"/>
          <w:rFonts w:ascii="Helvetica" w:hAnsi="Helvetica"/>
          <w:i/>
          <w:iCs/>
          <w:color w:val="505050"/>
        </w:rPr>
        <w:t>Consumer Complaint Database</w:t>
      </w:r>
      <w:r>
        <w:rPr>
          <w:rStyle w:val="lookup-resultcontent"/>
          <w:rFonts w:ascii="Helvetica" w:hAnsi="Helvetica"/>
          <w:color w:val="505050"/>
        </w:rPr>
        <w:t xml:space="preserve">. Retrieved September 13, 2016, from Search for a Dataset - Data.gov, </w:t>
      </w:r>
      <w:hyperlink r:id="rId7" w:history="1">
        <w:r w:rsidRPr="009A1523">
          <w:rPr>
            <w:rStyle w:val="Hyperlink"/>
            <w:rFonts w:ascii="Helvetica" w:hAnsi="Helvetica"/>
          </w:rPr>
          <w:t>https://catalog.data.gov/dataset/consumer-complaint-database</w:t>
        </w:r>
      </w:hyperlink>
    </w:p>
    <w:p w:rsidR="004D7AA3" w:rsidRDefault="004D7AA3" w:rsidP="001045A0">
      <w:pPr>
        <w:rPr>
          <w:rStyle w:val="lookup-resultcontent"/>
          <w:rFonts w:ascii="Helvetica" w:hAnsi="Helvetica"/>
          <w:color w:val="505050"/>
        </w:rPr>
      </w:pPr>
    </w:p>
    <w:p w:rsidR="004D7AA3" w:rsidRDefault="004D7AA3" w:rsidP="001045A0">
      <w:pPr>
        <w:rPr>
          <w:rStyle w:val="lookup-resultcontent"/>
          <w:rFonts w:ascii="Helvetica" w:hAnsi="Helvetica"/>
          <w:color w:val="505050"/>
        </w:rPr>
      </w:pPr>
      <w:r>
        <w:rPr>
          <w:rStyle w:val="lookup-resultcontent"/>
          <w:rFonts w:ascii="Helvetica" w:hAnsi="Helvetica"/>
          <w:color w:val="505050"/>
        </w:rPr>
        <w:t>License: License not required</w:t>
      </w:r>
    </w:p>
    <w:p w:rsidR="00A01EAF" w:rsidRPr="004D7AA3" w:rsidRDefault="00A01EAF" w:rsidP="001045A0">
      <w:pPr>
        <w:rPr>
          <w:rFonts w:ascii="Helvetica" w:hAnsi="Helvetica"/>
          <w:color w:val="505050"/>
        </w:rPr>
      </w:pPr>
    </w:p>
    <w:p w:rsidR="00B304D0" w:rsidRDefault="004D7AA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The dataset published by the </w:t>
      </w:r>
      <w:r>
        <w:rPr>
          <w:rStyle w:val="lookup-resultcontent"/>
          <w:rFonts w:ascii="Helvetica" w:hAnsi="Helvetica"/>
          <w:color w:val="505050"/>
        </w:rPr>
        <w:t>Consumer Financial Protection Bureau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140638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consists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of </w:t>
      </w:r>
      <w:r w:rsidR="009C449E">
        <w:rPr>
          <w:rFonts w:ascii="Arial" w:hAnsi="Arial" w:cs="Arial"/>
          <w:color w:val="444444"/>
          <w:sz w:val="21"/>
          <w:szCs w:val="21"/>
          <w:shd w:val="clear" w:color="auto" w:fill="FFFFFF"/>
        </w:rPr>
        <w:t>complaints</w:t>
      </w:r>
      <w:r w:rsidR="00B304D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received about financial products and services</w:t>
      </w:r>
      <w:r w:rsidR="001045A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between 2011 and 2016.</w:t>
      </w:r>
      <w:r w:rsidR="00140638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The data contains details of the complaints like the type of product, category of the issue, company, location and date.</w:t>
      </w:r>
      <w:r w:rsidR="002A7246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Customer complaints is a form of feedback which can be used to make interesting predictions</w:t>
      </w:r>
      <w:r w:rsidR="00140638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like whether measures were taken to target specific issues by companies to ensure that the count reduced over a period of time.</w:t>
      </w:r>
    </w:p>
    <w:p w:rsidR="009C449E" w:rsidRPr="00B304D0" w:rsidRDefault="009C449E">
      <w:pPr>
        <w:rPr>
          <w:sz w:val="24"/>
          <w:szCs w:val="24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Questions:</w:t>
      </w:r>
    </w:p>
    <w:p w:rsidR="00D759D6" w:rsidRDefault="004E3584" w:rsidP="009C44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759D6">
        <w:rPr>
          <w:sz w:val="24"/>
          <w:szCs w:val="24"/>
        </w:rPr>
        <w:t>elationship between</w:t>
      </w:r>
      <w:r>
        <w:rPr>
          <w:sz w:val="24"/>
          <w:szCs w:val="24"/>
        </w:rPr>
        <w:t xml:space="preserve"> complaint</w:t>
      </w:r>
      <w:r w:rsidR="00AE266F">
        <w:rPr>
          <w:sz w:val="24"/>
          <w:szCs w:val="24"/>
        </w:rPr>
        <w:t xml:space="preserve"> from customers</w:t>
      </w:r>
      <w:r>
        <w:rPr>
          <w:sz w:val="24"/>
          <w:szCs w:val="24"/>
        </w:rPr>
        <w:t xml:space="preserve"> about i</w:t>
      </w:r>
      <w:r w:rsidR="00D759D6">
        <w:rPr>
          <w:sz w:val="24"/>
          <w:szCs w:val="24"/>
        </w:rPr>
        <w:t>ssue</w:t>
      </w:r>
      <w:r>
        <w:rPr>
          <w:sz w:val="24"/>
          <w:szCs w:val="24"/>
        </w:rPr>
        <w:t>s in a product</w:t>
      </w:r>
      <w:r w:rsidR="00D759D6">
        <w:rPr>
          <w:sz w:val="24"/>
          <w:szCs w:val="24"/>
        </w:rPr>
        <w:t xml:space="preserve"> and </w:t>
      </w:r>
      <w:r>
        <w:rPr>
          <w:sz w:val="24"/>
          <w:szCs w:val="24"/>
        </w:rPr>
        <w:t>States in US to identify a pattern</w:t>
      </w:r>
      <w:r w:rsidR="00140638">
        <w:rPr>
          <w:sz w:val="24"/>
          <w:szCs w:val="24"/>
        </w:rPr>
        <w:t>.</w:t>
      </w:r>
    </w:p>
    <w:p w:rsidR="004E3584" w:rsidRDefault="002D3A48" w:rsidP="009C44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CD6B72">
        <w:rPr>
          <w:sz w:val="24"/>
          <w:szCs w:val="24"/>
        </w:rPr>
        <w:t xml:space="preserve">elationship of number of days taken to send the </w:t>
      </w:r>
      <w:r w:rsidR="004C7B6B">
        <w:rPr>
          <w:sz w:val="24"/>
          <w:szCs w:val="24"/>
        </w:rPr>
        <w:t>data to the</w:t>
      </w:r>
      <w:r w:rsidR="00CD6B72">
        <w:rPr>
          <w:sz w:val="24"/>
          <w:szCs w:val="24"/>
        </w:rPr>
        <w:t xml:space="preserve"> </w:t>
      </w:r>
      <w:r>
        <w:rPr>
          <w:sz w:val="24"/>
          <w:szCs w:val="24"/>
        </w:rPr>
        <w:t>company and the type of issue in a product?</w:t>
      </w:r>
    </w:p>
    <w:p w:rsidR="00B304D0" w:rsidRDefault="004E3584" w:rsidP="009C44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frequency of</w:t>
      </w:r>
      <w:r w:rsidR="00D759D6">
        <w:rPr>
          <w:sz w:val="24"/>
          <w:szCs w:val="24"/>
        </w:rPr>
        <w:t xml:space="preserve"> </w:t>
      </w:r>
      <w:r w:rsidR="009C449E">
        <w:rPr>
          <w:sz w:val="24"/>
          <w:szCs w:val="24"/>
        </w:rPr>
        <w:t xml:space="preserve">specific issues </w:t>
      </w:r>
      <w:r w:rsidR="00135F6C">
        <w:rPr>
          <w:sz w:val="24"/>
          <w:szCs w:val="24"/>
        </w:rPr>
        <w:t>in products</w:t>
      </w:r>
      <w:r w:rsidR="00D759D6">
        <w:rPr>
          <w:sz w:val="24"/>
          <w:szCs w:val="24"/>
        </w:rPr>
        <w:t xml:space="preserve"> </w:t>
      </w:r>
      <w:r w:rsidR="00135F6C">
        <w:rPr>
          <w:sz w:val="24"/>
          <w:szCs w:val="24"/>
        </w:rPr>
        <w:t>annually to check whether the count was lesser in the consecutive years?</w:t>
      </w:r>
    </w:p>
    <w:p w:rsidR="00D759D6" w:rsidRPr="004E3584" w:rsidRDefault="00D759D6" w:rsidP="004E3584">
      <w:pPr>
        <w:rPr>
          <w:sz w:val="24"/>
          <w:szCs w:val="24"/>
        </w:rPr>
      </w:pPr>
    </w:p>
    <w:sectPr w:rsidR="00D759D6" w:rsidRPr="004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4714C"/>
    <w:multiLevelType w:val="hybridMultilevel"/>
    <w:tmpl w:val="A64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539AC"/>
    <w:multiLevelType w:val="hybridMultilevel"/>
    <w:tmpl w:val="5E4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ED"/>
    <w:rsid w:val="0000249F"/>
    <w:rsid w:val="001045A0"/>
    <w:rsid w:val="00135F6C"/>
    <w:rsid w:val="00140638"/>
    <w:rsid w:val="00155DE7"/>
    <w:rsid w:val="002A7246"/>
    <w:rsid w:val="002D39D9"/>
    <w:rsid w:val="002D3A48"/>
    <w:rsid w:val="00327154"/>
    <w:rsid w:val="003E732C"/>
    <w:rsid w:val="004C7B6B"/>
    <w:rsid w:val="004D7AA3"/>
    <w:rsid w:val="004E3584"/>
    <w:rsid w:val="00655C79"/>
    <w:rsid w:val="00663BA0"/>
    <w:rsid w:val="00855FC6"/>
    <w:rsid w:val="00957A92"/>
    <w:rsid w:val="009A1DED"/>
    <w:rsid w:val="009C449E"/>
    <w:rsid w:val="00A01EAF"/>
    <w:rsid w:val="00AC1139"/>
    <w:rsid w:val="00AC65E0"/>
    <w:rsid w:val="00AD531F"/>
    <w:rsid w:val="00AE266F"/>
    <w:rsid w:val="00B304D0"/>
    <w:rsid w:val="00C70A36"/>
    <w:rsid w:val="00CD6B72"/>
    <w:rsid w:val="00CF22C6"/>
    <w:rsid w:val="00D759D6"/>
    <w:rsid w:val="00DF737F"/>
    <w:rsid w:val="00EA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3F0F7-F070-43C3-BF3E-46A450BA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D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2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48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732C"/>
    <w:pPr>
      <w:ind w:left="720"/>
      <w:contextualSpacing/>
    </w:pPr>
  </w:style>
  <w:style w:type="character" w:customStyle="1" w:styleId="lookup-resultcontent">
    <w:name w:val="lookup-result__content"/>
    <w:basedOn w:val="DefaultParagraphFont"/>
    <w:rsid w:val="004D7AA3"/>
  </w:style>
  <w:style w:type="character" w:customStyle="1" w:styleId="apple-converted-space">
    <w:name w:val="apple-converted-space"/>
    <w:basedOn w:val="DefaultParagraphFont"/>
    <w:rsid w:val="004D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consumer-complaint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editcards.com/" TargetMode="External"/><Relationship Id="rId5" Type="http://schemas.openxmlformats.org/officeDocument/2006/relationships/hyperlink" Target="https://archive.ics.uci.edu/ml/datasets/default+of+credit+card+cli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Kava</dc:creator>
  <cp:keywords/>
  <dc:description/>
  <cp:lastModifiedBy>Shashank Kava</cp:lastModifiedBy>
  <cp:revision>4</cp:revision>
  <dcterms:created xsi:type="dcterms:W3CDTF">2016-09-10T22:57:00Z</dcterms:created>
  <dcterms:modified xsi:type="dcterms:W3CDTF">2016-09-13T06:07:00Z</dcterms:modified>
</cp:coreProperties>
</file>