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0"/>
          <w:szCs w:val="30"/>
        </w:rPr>
        <w:t xml:space="preserve">[INSTITUTION NAME]</w:t>
      </w:r>
    </w:p>
    <w:p>
      <w:pPr>
        <w:spacing w:after="900"/>
        <w:jc w:val="center"/>
      </w:pPr>
      <w:r>
        <w:rPr>
          <w:b w:val="false"/>
          <w:bCs w:val="false"/>
          <w:sz w:val="24"/>
          <w:szCs w:val="24"/>
        </w:rPr>
        <w:t xml:space="preserve">[Course] — Forensic Science and Criminal Investigation</w:t>
      </w:r>
    </w:p>
    <w:p>
      <w:pPr>
        <w:spacing w:after="200"/>
        <w:jc w:val="center"/>
      </w:pPr>
      <w:r>
        <w:rPr>
          <w:b/>
          <w:bCs/>
          <w:sz w:val="28"/>
          <w:szCs w:val="28"/>
        </w:rPr>
        <w:t xml:space="preserve">FORENSICS PROJECT</w:t>
      </w:r>
    </w:p>
    <w:p>
      <w:pPr>
        <w:spacing w:after="300"/>
        <w:jc w:val="center"/>
      </w:pPr>
      <w:r>
        <w:rPr>
          <w:b w:val="false"/>
          <w:bCs w:val="false"/>
          <w:sz w:val="24"/>
          <w:szCs w:val="24"/>
        </w:rPr>
        <w:t xml:space="preserve">CASE STUDY</w:t>
      </w:r>
    </w:p>
    <w:p>
      <w:pPr>
        <w:spacing w:after="120"/>
        <w:jc w:val="center"/>
      </w:pPr>
      <w:r>
        <w:rPr>
          <w:b/>
          <w:bCs/>
          <w:sz w:val="34"/>
          <w:szCs w:val="34"/>
        </w:rPr>
        <w:t xml:space="preserve">State of Maharashtra v. Maria Monica Susairaj &amp; Emile Jerome Mathew</w:t>
      </w:r>
    </w:p>
    <w:p>
      <w:pPr>
        <w:spacing w:after="120"/>
        <w:jc w:val="center"/>
      </w:pPr>
      <w:r>
        <w:rPr>
          <w:b w:val="false"/>
          <w:bCs w:val="false"/>
          <w:sz w:val="26"/>
          <w:szCs w:val="26"/>
        </w:rPr>
        <w:t xml:space="preserve">(The Neeraj Grover Murder Case, Mumbai, 2008)</w:t>
      </w:r>
    </w:p>
    <w:p>
      <w:pPr>
        <w:spacing w:after="1000"/>
        <w:jc w:val="center"/>
      </w:pPr>
      <w:r>
        <w:rPr>
          <w:b w:val="false"/>
          <w:bCs w:val="false"/>
          <w:sz w:val="22"/>
          <w:szCs w:val="22"/>
        </w:rPr>
        <w:t xml:space="preserve">A Forensic, Investigative and Legal Analysis under the IPC/CrPC and the BNS/BNSS/BSA</w:t>
      </w:r>
    </w:p>
    <w:p>
      <w:pPr>
        <w:spacing w:after="140"/>
        <w:ind w:left="1440"/>
      </w:pPr>
      <w:r>
        <w:rPr>
          <w:b/>
          <w:bCs/>
          <w:sz w:val="26"/>
          <w:szCs w:val="26"/>
        </w:rPr>
        <w:t xml:space="preserve">Name: </w:t>
      </w:r>
      <w:r>
        <w:rPr>
          <w:sz w:val="26"/>
          <w:szCs w:val="26"/>
        </w:rPr>
        <w:t xml:space="preserve">______________________________</w:t>
      </w:r>
    </w:p>
    <w:p>
      <w:pPr>
        <w:spacing w:after="140"/>
        <w:ind w:left="1440"/>
      </w:pPr>
      <w:r>
        <w:rPr>
          <w:b/>
          <w:bCs/>
          <w:sz w:val="26"/>
          <w:szCs w:val="26"/>
        </w:rPr>
        <w:t xml:space="preserve">Roll No.: </w:t>
      </w:r>
      <w:r>
        <w:rPr>
          <w:sz w:val="26"/>
          <w:szCs w:val="26"/>
        </w:rPr>
        <w:t xml:space="preserve">______________________________</w:t>
      </w:r>
    </w:p>
    <w:p>
      <w:pPr>
        <w:spacing w:after="140"/>
        <w:ind w:left="1440"/>
      </w:pPr>
      <w:r>
        <w:rPr>
          <w:b/>
          <w:bCs/>
          <w:sz w:val="26"/>
          <w:szCs w:val="26"/>
        </w:rPr>
        <w:t xml:space="preserve">Semester: </w:t>
      </w:r>
      <w:r>
        <w:rPr>
          <w:sz w:val="26"/>
          <w:szCs w:val="26"/>
        </w:rPr>
        <w:t xml:space="preserve">______________________________</w:t>
      </w:r>
    </w:p>
    <w:p>
      <w:pPr>
        <w:spacing w:after="140"/>
        <w:ind w:left="1440"/>
      </w:pPr>
      <w:r>
        <w:rPr>
          <w:b/>
          <w:bCs/>
          <w:sz w:val="26"/>
          <w:szCs w:val="26"/>
        </w:rPr>
        <w:t xml:space="preserve">Course and Subject: </w:t>
      </w:r>
      <w:r>
        <w:rPr>
          <w:sz w:val="26"/>
          <w:szCs w:val="26"/>
        </w:rPr>
        <w:t xml:space="preserve">______________________________</w:t>
      </w:r>
    </w:p>
    <w:p>
      <w:pPr>
        <w:spacing w:after="140"/>
        <w:ind w:left="1440"/>
      </w:pPr>
      <w:r>
        <w:rPr>
          <w:b/>
          <w:bCs/>
          <w:sz w:val="26"/>
          <w:szCs w:val="26"/>
        </w:rPr>
        <w:t xml:space="preserve">Faculty: </w:t>
      </w:r>
      <w:r>
        <w:rPr>
          <w:sz w:val="26"/>
          <w:szCs w:val="26"/>
        </w:rPr>
        <w:t xml:space="preserve">______________________________</w:t>
      </w:r>
    </w:p>
    <w:p>
      <w:pPr>
        <w:spacing w:after="140"/>
        <w:ind w:left="1440"/>
      </w:pPr>
      <w:r>
        <w:rPr>
          <w:b/>
          <w:bCs/>
          <w:sz w:val="26"/>
          <w:szCs w:val="26"/>
        </w:rPr>
        <w:t xml:space="preserve">Institution: </w:t>
      </w:r>
      <w:r>
        <w:rPr>
          <w:sz w:val="26"/>
          <w:szCs w:val="26"/>
        </w:rPr>
        <w:t xml:space="preserve">______________________________</w:t>
      </w:r>
    </w:p>
    <w:p>
      <w:pPr>
        <w:spacing w:after="140"/>
        <w:ind w:left="1440"/>
      </w:pPr>
      <w:r>
        <w:rPr>
          <w:b/>
          <w:bCs/>
          <w:sz w:val="26"/>
          <w:szCs w:val="26"/>
        </w:rPr>
        <w:t xml:space="preserve">Academic Year: </w:t>
      </w:r>
      <w:r>
        <w:rPr>
          <w:sz w:val="26"/>
          <w:szCs w:val="26"/>
        </w:rPr>
        <w:t xml:space="preserve">______________________________</w:t>
      </w:r>
    </w:p>
    <w:p>
      <w:pPr>
        <w:spacing w:after="140"/>
        <w:ind w:left="1440"/>
      </w:pPr>
      <w:r>
        <w:rPr>
          <w:b/>
          <w:bCs/>
          <w:sz w:val="26"/>
          <w:szCs w:val="26"/>
        </w:rPr>
        <w:t xml:space="preserve">Date of Submission: </w:t>
      </w:r>
      <w:r>
        <w:rPr>
          <w:sz w:val="26"/>
          <w:szCs w:val="26"/>
        </w:rPr>
        <w:t xml:space="preserve">______________________________</w:t>
      </w:r>
    </w:p>
    <w:p>
      <w:r>
        <w:br w:type="page"/>
      </w:r>
    </w:p>
    <w:p>
      <w:pPr>
        <w:sectPr>
          <w:pgSz w:w="11906" w:h="16838" w:orient="portrait"/>
          <w:pgMar w:top="1440" w:right="1440" w:bottom="1440" w:left="1440" w:header="708" w:footer="708" w:gutter="0"/>
          <w:pgNumType/>
          <w:docGrid w:linePitch="360"/>
        </w:sectPr>
      </w:pPr>
    </w:p>
    <w:p>
      <w:pPr>
        <w:pStyle w:val="Heading1"/>
      </w:pPr>
      <w:r>
        <w:t xml:space="preserve">1. Case Facts and Case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pPr>
            <w:r>
              <w:rPr>
                <w:b/>
                <w:bCs/>
                <w:sz w:val="21"/>
                <w:szCs w:val="21"/>
              </w:rPr>
              <w:t xml:space="preserve">Particular</w:t>
            </w:r>
          </w:p>
        </w:tc>
        <w:tc>
          <w:tcPr>
            <w:tcW w:type="dxa" w:w="64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pPr>
            <w:r>
              <w:rPr>
                <w:b/>
                <w:bCs/>
                <w:sz w:val="21"/>
                <w:szCs w:val="21"/>
              </w:rPr>
              <w:t xml:space="preserve">Details</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Case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State of Maharashtra v. Maria Monica Susairaj &amp; Emile Jerome Mathew, Sessions Court, Mumbai</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What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Killing of a TV executive, dismemberment of his body and burning of the remains</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When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Early morning of 7 May 2008; arrests on 21 May 2008; verdict on 30 June 2011</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Where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Maria Susairaj's flat, Malad (West), Mumbai; remains burnt in forest near Amgaon, Manor, Thane district</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Victim</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Neeraj Grover (25), executive with Synergy Adlabs, a Mumbai TV production house</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Accused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A1: Emile Jerome Mathew, Lieutenant, Indian Navy (posted at Kochi); A2: Maria Monica Susairaj, Kannada actress and Jerome's fiancée</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Charges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IPC s.302 (murder), s.120B (criminal conspiracy), s.201 (causing disappearance of evidence), read with s.34</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Key forensic evidence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DNA from charred bones matched with the victim's parents; victim's blood on the flat's door latch; mobile call and tower records; purchase evidence of knife, bags, petrol</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Major legal issues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Murder or culpable homicide? Was there a conspiracy? Could Maria's role in the killing be proved? Could identity be proved without a body?</w:t>
            </w:r>
          </w:p>
        </w:tc>
      </w:tr>
      <w:tr>
        <w:trPr>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Decision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Jerome: s.304 Part I + s.201, 10 years RI. Maria: acquitted of murder and conspiracy, convicted under s.201, 3 years (already served; released July 2011)</w:t>
            </w:r>
          </w:p>
        </w:tc>
      </w:tr>
    </w:tbl>
    <w:p>
      <w:pPr>
        <w:spacing w:after="120"/>
      </w:pPr>
    </w:p>
    <w:p>
      <w:pPr>
        <w:spacing w:after="120" w:line="336"/>
        <w:jc w:val="both"/>
      </w:pPr>
      <w:r>
        <w:t xml:space="preserve">In the early hours of 7 May 2008, Lt. Emile Jerome Mathew arrived unannounced from Kochi at the Malad flat of his fiancée, Maria Susairaj, and found Neeraj Grover there. A quarrel followed, and Jerome stabbed Grover with a kitchen knife, killing him. Over the next few hours the two accused bought knives, bags, curtains, bed sheets and air freshener, cut the body into pieces, packed them into bags, drove to a forest near Manor and burnt them with petrol. Maria then filed a missing-person complaint and joined Grover's friends in "searching" for him.</w:t>
      </w:r>
    </w:p>
    <w:p>
      <w:pPr>
        <w:spacing w:after="120" w:line="336"/>
        <w:jc w:val="both"/>
      </w:pPr>
      <w:r>
        <w:t xml:space="preserve">Mobile phone records exposed the lie. On 21 May 2008 both were arrested. With no eyewitness and no intact body, the case rested almost entirely on forensic and circumstantial evidence. The Sessions Court (Judge M.W. Chandwani) held that the killing was not premeditated and occurred on the spur of the moment. It convicted Jerome of culpable homicide not amounting to murder, and convicted Maria only of destroying evidence.</w:t>
      </w:r>
      <w:r>
        <w:rPr>
          <w:rStyle w:val="FootnoteReference"/>
        </w:rPr>
        <w:footnoteReference w:id="1"/>
      </w:r>
      <w:r>
        <w:t xml:space="preserve"> The verdict provoked a public outcry.</w:t>
      </w:r>
      <w:r>
        <w:rPr>
          <w:rStyle w:val="FootnoteReference"/>
        </w:rPr>
        <w:footnoteReference w:id="2"/>
      </w:r>
      <w:r>
        <w:t xml:space="preserve"> Appeals were filed by both accused and by the State in the Bombay High Court.</w:t>
      </w:r>
      <w:r>
        <w:rPr>
          <w:rStyle w:val="FootnoteReference"/>
        </w:rPr>
        <w:footnoteReference w:id="3"/>
      </w:r>
    </w:p>
    <w:p>
      <w:pPr>
        <w:pStyle w:val="Heading1"/>
      </w:pPr>
      <w:r>
        <w:t xml:space="preserve">2. Factual Background</w:t>
      </w:r>
    </w:p>
    <w:p>
      <w:pPr>
        <w:spacing w:after="120" w:line="336"/>
        <w:jc w:val="both"/>
      </w:pPr>
      <w:r>
        <w:t xml:space="preserve">Maria Susairaj, an actress from Karnataka, had moved to Mumbai looking for work in television. Neeraj Grover, a casting and production executive, was her friend and reportedly helped her find roles and settle into her new flat. She was engaged to Emile Jerome, a naval officer. Jerome reportedly suspected a relationship between Maria and Grover after a late-night phone call on 6 May 2008, and he flew to Mumbai without telling her.</w:t>
      </w:r>
    </w:p>
    <w:p>
      <w:pPr>
        <w:spacing w:after="120" w:line="336"/>
        <w:jc w:val="both"/>
      </w:pPr>
      <w:r>
        <w:t xml:space="preserve">Around 7 a.m. on 7 May he reached the flat. On the prosecution case, he found Grover there, an argument broke out, and he took a kitchen knife and stabbed Grover, who died on the spot. At about 11 a.m. Maria went to a nearby mall and bought bags, air freshener, curtains, bed sheets and a knife. She later said Jerome told her to buy them. The body was cut into pieces in the kitchen and stuffed into bags. Around 4:30 p.m. they drove towards Manor, bought two bottles of petrol at Bhayander, and set the bags on fire in a jungle near Amgaon village. The flat was cleaned, and the knife was thrown into a garbage chute.</w:t>
      </w:r>
      <w:r>
        <w:rPr>
          <w:rStyle w:val="FootnoteReference"/>
        </w:rPr>
        <w:footnoteReference w:id="4"/>
      </w:r>
    </w:p>
    <w:p>
      <w:pPr>
        <w:spacing w:after="120" w:line="336"/>
        <w:jc w:val="both"/>
      </w:pPr>
      <w:r>
        <w:t xml:space="preserve">On 9 May 2008 Maria reported to Malad police that Grover had left her flat around 1:30 a.m. on 7 May and gone missing. Police interest turned to her once the victim's phone records contradicted her account.</w:t>
      </w:r>
      <w:r>
        <w:rPr>
          <w:rStyle w:val="FootnoteReference"/>
        </w:rPr>
        <w:footnoteReference w:id="5"/>
      </w:r>
    </w:p>
    <w:p>
      <w:pPr>
        <w:pStyle w:val="Heading1"/>
      </w:pPr>
      <w:r>
        <w:t xml:space="preserve">3. Registration of FIR to Trial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pPr>
            <w:r>
              <w:rPr>
                <w:b/>
                <w:bCs/>
                <w:sz w:val="21"/>
                <w:szCs w:val="21"/>
              </w:rPr>
              <w:t xml:space="preserve">Stage</w:t>
            </w:r>
          </w:p>
        </w:tc>
        <w:tc>
          <w:tcPr>
            <w:tcW w:type="dxa" w:w="67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pPr>
            <w:r>
              <w:rPr>
                <w:b/>
                <w:bCs/>
                <w:sz w:val="21"/>
                <w:szCs w:val="21"/>
              </w:rPr>
              <w:t xml:space="preserve">What happened and its significance</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Missing complaint (9 May 2008)</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Maria reported Grover missing at Malad police station. Filing a false report early is a well-known way for offenders to deflect suspicion.</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Preliminary enquiry</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Grover's call data records (CDRs) showed an SMS received around 5:15 p.m. on 7 May and tower locations (e.g. Dahisar) that did not fit Maria's story that he had already left.</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FIR and investigation</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The missing case was converted into a cognizable offence of murder (s.154 CrPC). Records showed Jerome had called Maria nearly 1,000 times between 7 and 20 May.</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Arrest (21 May 2008)</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Both accused were arrested 14 days after the killing. Their disclosure statements led to the burn site at Manor.</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Recovery and scene work</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Charred bone fragments were collected at Manor. The flat was examined; blood traces were found on the door latch despite cleaning. Purchases were traced through shop records and witnesses.</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Forensic examination</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Bones and swabs went to the Forensic Science Laboratory, Kalina (Mumbai), for DNA profiling against reference blood samples of Grover's parents.</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Charge-sheet and trial</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Charges were framed under ss.302, 120B, 201 r/w 34 IPC. DNA expert Srikant Lade was examined and cross-examined for over 20 days.</w:t>
            </w:r>
          </w:p>
        </w:tc>
      </w:tr>
      <w:tr>
        <w:trPr>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Judgment (30 June 2011)</w:t>
            </w:r>
          </w:p>
        </w:tc>
        <w:tc>
          <w:tcPr>
            <w:tcW w:type="dxa" w:w="6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Sentences pronounced 1 July 2011. Maria was released on 2 July 2011, having spent more than three years in custody.</w:t>
            </w:r>
          </w:p>
        </w:tc>
      </w:tr>
    </w:tbl>
    <w:p>
      <w:pPr>
        <w:spacing w:after="120"/>
      </w:pPr>
    </w:p>
    <w:p>
      <w:pPr>
        <w:pStyle w:val="Heading2"/>
      </w:pPr>
      <w:r>
        <w:t xml:space="preserve">3.1 Scene Preservation: What Went Right and Wrong</w:t>
      </w:r>
    </w:p>
    <w:p>
      <w:pPr>
        <w:spacing w:after="120" w:line="336"/>
        <w:jc w:val="both"/>
      </w:pPr>
      <w:r>
        <w:t xml:space="preserve">There were really two crime scenes: the flat (the place of killing and dismemberment) and the Manor forest (the place of disposal). Both were reached two weeks late. By then the flat had been cleaned and refurnished, and the burn site had been exposed to weather, animals and passers-by. The fact that blood was still found on the door latch shows the value of systematic examination of "hidden" surfaces: latches, hinges, drain traps, grout, skirting boards and the underside of fixtures. These are places cleaners usually miss. At Manor, the fragmented and burnt remains made grid-searching, sieving of soil and ash, and careful sealing essential for proving continuity.</w:t>
      </w:r>
    </w:p>
    <w:p>
      <w:pPr>
        <w:pStyle w:val="Heading1"/>
      </w:pPr>
      <w:r>
        <w:t xml:space="preserve">4. Use of Forensic Analysis: Discipline-Wise</w:t>
      </w:r>
    </w:p>
    <w:p>
      <w:pPr>
        <w:pStyle w:val="Heading2"/>
      </w:pPr>
      <w:r>
        <w:t xml:space="preserve">4.1 Forensic DNA Profiling (Biology)</w:t>
      </w:r>
    </w:p>
    <w:p>
      <w:pPr>
        <w:spacing w:after="120" w:line="336"/>
        <w:jc w:val="both"/>
      </w:pPr>
      <w:r>
        <w:t xml:space="preserve">This was the backbone of the case. Without a body, the prosecution first had to prove that Neeraj Grover was dead and that the remains were his. DNA was extracted from charred bone fragments, including the femur, and compared with the victim's parents (a kinship or "reverse paternity" analysis). Dense long bones such as the femur protect DNA better than soft tissue from heat, which is why they are the preferred sample in burnt-remains cases. The expert from FSL Kalina, Srikant Lade, confirmed the parental match. His testimony survived more than 20 days of cross-examination, and the court accepted identity.</w:t>
      </w:r>
      <w:r>
        <w:rPr>
          <w:rStyle w:val="FootnoteReference"/>
        </w:rPr>
        <w:footnoteReference w:id="6"/>
      </w:r>
    </w:p>
    <w:p>
      <w:pPr>
        <w:pStyle w:val="Heading2"/>
      </w:pPr>
      <w:r>
        <w:t xml:space="preserve">4.2 Serology and Crime-Scene Examination</w:t>
      </w:r>
    </w:p>
    <w:p>
      <w:pPr>
        <w:spacing w:after="120" w:line="336"/>
        <w:jc w:val="both"/>
      </w:pPr>
      <w:r>
        <w:t xml:space="preserve">The accused had cleaned the flat and replaced the curtains and bed sheets. Even so, investigators found blood on the door latch and other spots. DNA from those traces linked the flat to the victim, which placed the killing inside the flat and corroborated the disclosures.</w:t>
      </w:r>
      <w:r>
        <w:rPr>
          <w:rStyle w:val="FootnoteReference"/>
        </w:rPr>
        <w:footnoteReference w:id="7"/>
      </w:r>
      <w:r>
        <w:t xml:space="preserve"> The new purchases were also meaningful: freshly bought curtains, sheets and air freshener in a flat that had just been cleaned form a recognisable "clean-up signature".</w:t>
      </w:r>
    </w:p>
    <w:p>
      <w:pPr>
        <w:pStyle w:val="Heading2"/>
      </w:pPr>
      <w:r>
        <w:t xml:space="preserve">4.3 Forensic Anthropology and Fire Investigation</w:t>
      </w:r>
    </w:p>
    <w:p>
      <w:pPr>
        <w:spacing w:after="120" w:line="336"/>
        <w:jc w:val="both"/>
      </w:pPr>
      <w:r>
        <w:t xml:space="preserve">The remains had been cut up and burnt with petrol, so the anthropological tasks were: to confirm the fragments were human, to estimate how many individuals were present, and to pick the best samples for DNA. The burn pattern and petrol purchase at Bhayander tied the site to the accused.</w:t>
      </w:r>
    </w:p>
    <w:p>
      <w:pPr>
        <w:pStyle w:val="Heading2"/>
      </w:pPr>
      <w:r>
        <w:t xml:space="preserve">4.4 Forensic Medicine and Pathology</w:t>
      </w:r>
    </w:p>
    <w:p>
      <w:pPr>
        <w:spacing w:after="120" w:line="336"/>
        <w:jc w:val="both"/>
      </w:pPr>
      <w:r>
        <w:t xml:space="preserve">This is where the forensic case was weakest. With no intact body, no conventional post-mortem could establish the number, site, depth or direction of the stab wounds. Yet those details usually decide whether a killing was a single blow in a sudden quarrel or a sustained attack showing intention. This gap mattered a great deal in the court's choice between s.302 and s.304.</w:t>
      </w:r>
    </w:p>
    <w:p>
      <w:pPr>
        <w:pStyle w:val="Heading2"/>
      </w:pPr>
      <w:r>
        <w:t xml:space="preserve">4.5 Digital and Mobile Forensics</w:t>
      </w:r>
    </w:p>
    <w:p>
      <w:pPr>
        <w:spacing w:after="120" w:line="336"/>
        <w:jc w:val="both"/>
      </w:pPr>
      <w:r>
        <w:t xml:space="preserve">CDRs and cell-tower data "cracked" the case. They showed the victim's phone receiving an SMS and being located in places that contradicted Maria's account. They also showed Jerome's travel from Kochi, and an unusually heavy stream of calls between the accused (nearly 1,000 between 7 and 20 May), which pointed to coordination after the crime.</w:t>
      </w:r>
      <w:r>
        <w:rPr>
          <w:rStyle w:val="FootnoteReference"/>
        </w:rPr>
        <w:footnoteReference w:id="8"/>
      </w:r>
    </w:p>
    <w:p>
      <w:pPr>
        <w:pStyle w:val="Heading2"/>
      </w:pPr>
      <w:r>
        <w:t xml:space="preserve">4.6 Documentary and Trace Evidence</w:t>
      </w:r>
    </w:p>
    <w:p>
      <w:pPr>
        <w:spacing w:after="120" w:line="336"/>
        <w:jc w:val="both"/>
      </w:pPr>
      <w:r>
        <w:t xml:space="preserve">Mall bills and shop-staff testimony for the knife, bags and cleaning items, and fuel-station evidence for the petrol, reconstructed the timeline of the cover-up. This mainly proved s.201 against both accused.</w:t>
      </w:r>
    </w:p>
    <w:p>
      <w:pPr>
        <w:pStyle w:val="Heading2"/>
      </w:pPr>
      <w:r>
        <w:t xml:space="preserve">4.7 Investigation Analysis</w:t>
      </w:r>
    </w:p>
    <w:p>
      <w:pPr>
        <w:spacing w:after="120" w:line="336"/>
        <w:jc w:val="both"/>
      </w:pPr>
      <w:r>
        <w:t xml:space="preserve">The investigation was good at connecting digital, biological and documentary threads. Its weaknesses were delay (a two-week gap), reliance on statements made in custody, and the failure to recover the weapon promptly. The knife in the garbage chute was not found for days, and several seized knives had to be tested for DNA.</w:t>
      </w:r>
    </w:p>
    <w:p>
      <w:pPr>
        <w:pStyle w:val="Heading1"/>
      </w:pPr>
      <w:r>
        <w:t xml:space="preserve">5. Theory of the Case: Motive, Forensic and Expert Evidence, Chain of Custody</w:t>
      </w:r>
    </w:p>
    <w:p>
      <w:pPr>
        <w:pStyle w:val="ListParagraph"/>
        <w:numPr>
          <w:ilvl w:val="0"/>
          <w:numId w:val="2"/>
        </w:numPr>
        <w:spacing w:after="60" w:line="312"/>
        <w:jc w:val="both"/>
      </w:pPr>
      <w:r>
        <w:rPr>
          <w:b/>
          <w:bCs/>
        </w:rPr>
        <w:t xml:space="preserve">Motive:</w:t>
      </w:r>
      <w:r>
        <w:t xml:space="preserve"> The prosecution said Jerome was driven by jealousy and suspicion of an intimate relationship between Maria and Grover. It argued that his unannounced flight from Kochi showed he came prepared for a confrontation, and that Maria was party to a plan.</w:t>
      </w:r>
    </w:p>
    <w:p>
      <w:pPr>
        <w:pStyle w:val="ListParagraph"/>
        <w:numPr>
          <w:ilvl w:val="0"/>
          <w:numId w:val="2"/>
        </w:numPr>
        <w:spacing w:after="60" w:line="312"/>
        <w:jc w:val="both"/>
      </w:pPr>
      <w:r>
        <w:rPr>
          <w:b/>
          <w:bCs/>
        </w:rPr>
        <w:t xml:space="preserve">Forensic evidence:</w:t>
      </w:r>
      <w:r>
        <w:t xml:space="preserve"> DNA identity from the bones, blood on the latch, the burn site, and purchase and petrol records.</w:t>
      </w:r>
    </w:p>
    <w:p>
      <w:pPr>
        <w:pStyle w:val="ListParagraph"/>
        <w:numPr>
          <w:ilvl w:val="0"/>
          <w:numId w:val="2"/>
        </w:numPr>
        <w:spacing w:after="60" w:line="312"/>
        <w:jc w:val="both"/>
      </w:pPr>
      <w:r>
        <w:rPr>
          <w:b/>
          <w:bCs/>
        </w:rPr>
        <w:t xml:space="preserve">Expert evidence:</w:t>
      </w:r>
      <w:r>
        <w:t xml:space="preserve"> The FSL DNA expert's testimony was admissible under s.45 of the Indian Evidence Act, and FSL reports under s.293 CrPC.</w:t>
      </w:r>
      <w:r>
        <w:rPr>
          <w:rStyle w:val="FootnoteReference"/>
        </w:rPr>
        <w:footnoteReference w:id="9"/>
      </w:r>
      <w:r>
        <w:t xml:space="preserve"> Experts on cell-tower analysis supported the digital timeline.</w:t>
      </w:r>
    </w:p>
    <w:p>
      <w:pPr>
        <w:pStyle w:val="ListParagraph"/>
        <w:numPr>
          <w:ilvl w:val="0"/>
          <w:numId w:val="2"/>
        </w:numPr>
        <w:spacing w:after="60" w:line="312"/>
        <w:jc w:val="both"/>
      </w:pPr>
      <w:r>
        <w:rPr>
          <w:b/>
          <w:bCs/>
        </w:rPr>
        <w:t xml:space="preserve">Chain of custody:</w:t>
      </w:r>
      <w:r>
        <w:t xml:space="preserve"> Every fragment had to be shown to move, sealed and documented, from the Manor site to the police station, the malkhana and FSL Kalina. The defence attacked the collection method, the delays and the risk of contamination. Because the court accepted the DNA findings, the custody chain was evidently held to be sufficiently proved, but this remains the most common point of attack in DNA cases.</w:t>
      </w:r>
    </w:p>
    <w:p>
      <w:pPr>
        <w:pStyle w:val="Heading1"/>
      </w:pPr>
      <w:r>
        <w:t xml:space="preserve">6. Prosecution and Defence Perspectives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pPr>
            <w:r>
              <w:rPr>
                <w:b/>
                <w:bCs/>
                <w:sz w:val="21"/>
                <w:szCs w:val="21"/>
              </w:rPr>
              <w:t xml:space="preserve">Prosecution</w:t>
            </w:r>
          </w:p>
        </w:tc>
        <w:tc>
          <w:tcPr>
            <w:tcW w:type="dxa" w:w="4513"/>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pPr>
            <w:r>
              <w:rPr>
                <w:b/>
                <w:bCs/>
                <w:sz w:val="21"/>
                <w:szCs w:val="21"/>
              </w:rPr>
              <w:t xml:space="preserve">Defence</w:t>
            </w:r>
          </w:p>
        </w:tc>
      </w:tr>
      <w:tr>
        <w:trPr>
          <w:tblHeader w:val="false"/>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Jerome's secret trip from Kochi and the jealousy motive show premeditation, so the offence is murder under s.302.</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No evidence of a plan. Jerome arrived to confront, not to kill. The knife was a kitchen knife picked up in the heat of the moment.</w:t>
            </w:r>
          </w:p>
        </w:tc>
      </w:tr>
      <w:tr>
        <w:trPr>
          <w:tblHeader w:val="false"/>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Maria and Jerome acted together throughout; the cover-up shows a meeting of minds (s.120B, s.34).</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Maria had no role in the stabbing. Her later acts were done out of fear and under Jerome's instructions.</w:t>
            </w:r>
          </w:p>
        </w:tc>
      </w:tr>
      <w:tr>
        <w:trPr>
          <w:tblHeader w:val="false"/>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The systematic dismemberment and burning show a cold, calculating mind.</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Conduct after the death cannot prove intention at the moment of the blow. At most it proves s.201.</w:t>
            </w:r>
          </w:p>
        </w:tc>
      </w:tr>
      <w:tr>
        <w:trPr>
          <w:tblHeader w:val="false"/>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DNA conclusively proves the remains are Grover's and that the flat was the scene.</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Samples were collected late, burnt and degraded; the chain of custody and the methodology are open to doubt.</w:t>
            </w:r>
          </w:p>
        </w:tc>
      </w:tr>
      <w:tr>
        <w:trPr>
          <w:tblHeader w:val="false"/>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CDRs expose Maria's false missing report and the accused's coordination.</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CDRs show location and contact, not what happened inside the flat.</w:t>
            </w:r>
          </w:p>
        </w:tc>
      </w:tr>
    </w:tbl>
    <w:p>
      <w:pPr>
        <w:spacing w:after="120"/>
      </w:pPr>
    </w:p>
    <w:p>
      <w:pPr>
        <w:pStyle w:val="Heading1"/>
      </w:pPr>
      <w:r>
        <w:t xml:space="preserve">7. Judgment Analysis</w:t>
      </w:r>
    </w:p>
    <w:p>
      <w:pPr>
        <w:pStyle w:val="Heading2"/>
      </w:pPr>
      <w:r>
        <w:t xml:space="preserve">7.1 Issues Before the Court</w:t>
      </w:r>
    </w:p>
    <w:p>
      <w:pPr>
        <w:pStyle w:val="ListParagraph"/>
        <w:numPr>
          <w:ilvl w:val="0"/>
          <w:numId w:val="3"/>
        </w:numPr>
        <w:spacing w:after="60" w:line="312"/>
      </w:pPr>
      <w:r>
        <w:t xml:space="preserve">Were the remains those of Neeraj Grover, and was his death homicidal?</w:t>
      </w:r>
    </w:p>
    <w:p>
      <w:pPr>
        <w:pStyle w:val="ListParagraph"/>
        <w:numPr>
          <w:ilvl w:val="0"/>
          <w:numId w:val="3"/>
        </w:numPr>
        <w:spacing w:after="60" w:line="312"/>
      </w:pPr>
      <w:r>
        <w:t xml:space="preserve">Did Jerome cause the death with the intention required for murder, or did the case fall within an Exception to s.300 IPC?</w:t>
      </w:r>
    </w:p>
    <w:p>
      <w:pPr>
        <w:pStyle w:val="ListParagraph"/>
        <w:numPr>
          <w:ilvl w:val="0"/>
          <w:numId w:val="3"/>
        </w:numPr>
        <w:spacing w:after="60" w:line="312"/>
      </w:pPr>
      <w:r>
        <w:t xml:space="preserve">Was there a criminal conspiracy (s.120B) between the accused?</w:t>
      </w:r>
    </w:p>
    <w:p>
      <w:pPr>
        <w:pStyle w:val="ListParagraph"/>
        <w:numPr>
          <w:ilvl w:val="0"/>
          <w:numId w:val="3"/>
        </w:numPr>
        <w:spacing w:after="60" w:line="312"/>
      </w:pPr>
      <w:r>
        <w:t xml:space="preserve">Did Maria take part in the killing?</w:t>
      </w:r>
    </w:p>
    <w:p>
      <w:pPr>
        <w:pStyle w:val="ListParagraph"/>
        <w:numPr>
          <w:ilvl w:val="0"/>
          <w:numId w:val="3"/>
        </w:numPr>
        <w:spacing w:after="60" w:line="312"/>
      </w:pPr>
      <w:r>
        <w:t xml:space="preserve">Did the accused cause evidence to disappear (s.201)?</w:t>
      </w:r>
    </w:p>
    <w:p>
      <w:pPr>
        <w:pStyle w:val="Heading2"/>
      </w:pPr>
      <w:r>
        <w:t xml:space="preserve">7.2 Findings</w:t>
      </w:r>
    </w:p>
    <w:p>
      <w:pPr>
        <w:spacing w:after="120" w:line="336"/>
        <w:jc w:val="both"/>
      </w:pPr>
      <w:r>
        <w:rPr>
          <w:b/>
          <w:bCs/>
        </w:rPr>
        <w:t xml:space="preserve">Identity and homicide:</w:t>
      </w:r>
      <w:r>
        <w:t xml:space="preserve"> The court accepted the DNA evidence and the expert testimony. It held that the remains were Grover's and that he died a homicidal death in Maria's flat.</w:t>
      </w:r>
    </w:p>
    <w:p>
      <w:pPr>
        <w:spacing w:after="120" w:line="336"/>
        <w:jc w:val="both"/>
      </w:pPr>
      <w:r>
        <w:rPr>
          <w:b/>
          <w:bCs/>
        </w:rPr>
        <w:t xml:space="preserve">Murder v. culpable homicide:</w:t>
      </w:r>
      <w:r>
        <w:t xml:space="preserve"> Judge Chandwani held that the killing was not premeditated. Jerome found Grover in the flat, a heated argument followed, and he picked up a knife on the spur of the moment. This attracted an Exception to s.300 (sudden provocation or quarrel), so the offence was culpable homicide not amounting to murder under s.304 Part I. The reasoning follows the line of </w:t>
      </w:r>
      <w:r>
        <w:rPr>
          <w:i/>
          <w:iCs/>
        </w:rPr>
        <w:t xml:space="preserve">K.M. Nanavati</w:t>
      </w:r>
      <w:r>
        <w:t xml:space="preserve"> v. </w:t>
      </w:r>
      <w:r>
        <w:rPr>
          <w:i/>
          <w:iCs/>
        </w:rPr>
        <w:t xml:space="preserve">State of Maharashtra</w:t>
      </w:r>
      <w:r>
        <w:rPr>
          <w:rStyle w:val="FootnoteReference"/>
        </w:rPr>
        <w:footnoteReference w:id="10"/>
      </w:r>
      <w:r>
        <w:t xml:space="preserve">, where the Supreme Court held that grave and sudden provocation must be judged by the standard of a reasonable person and that the accused must have had no time to cool down.</w:t>
      </w:r>
    </w:p>
    <w:p>
      <w:pPr>
        <w:spacing w:after="120" w:line="336"/>
        <w:jc w:val="both"/>
      </w:pPr>
      <w:r>
        <w:rPr>
          <w:b/>
          <w:bCs/>
        </w:rPr>
        <w:t xml:space="preserve">Conspiracy and Maria's role:</w:t>
      </w:r>
      <w:r>
        <w:t xml:space="preserve"> The court found no reliable evidence that Maria agreed to, or took part in, the stabbing. Conspiracy was not proved.</w:t>
      </w:r>
    </w:p>
    <w:p>
      <w:pPr>
        <w:spacing w:after="120" w:line="336"/>
        <w:jc w:val="both"/>
      </w:pPr>
      <w:r>
        <w:rPr>
          <w:b/>
          <w:bCs/>
        </w:rPr>
        <w:t xml:space="preserve">Destruction of evidence:</w:t>
      </w:r>
      <w:r>
        <w:t xml:space="preserve"> The purchases, dismemberment, burning, cleaning and false missing report proved s.201 against both accused.</w:t>
      </w:r>
    </w:p>
    <w:p>
      <w:pPr>
        <w:spacing w:after="120" w:line="336"/>
        <w:jc w:val="both"/>
      </w:pPr>
      <w:r>
        <w:rPr>
          <w:b/>
          <w:bCs/>
        </w:rPr>
        <w:t xml:space="preserve">Sentence:</w:t>
      </w:r>
      <w:r>
        <w:t xml:space="preserve"> Jerome received 10 years' rigorous imprisonment under s.304 Part I and a concurrent term under s.201. Maria received 3 years under s.201, which she had already served in custody.</w:t>
      </w:r>
      <w:r>
        <w:rPr>
          <w:rStyle w:val="FootnoteReference"/>
        </w:rPr>
        <w:footnoteReference w:id="11"/>
      </w:r>
    </w:p>
    <w:p>
      <w:pPr>
        <w:pStyle w:val="Heading2"/>
      </w:pPr>
      <w:r>
        <w:t xml:space="preserve">7.3 Critical Observations</w:t>
      </w:r>
    </w:p>
    <w:p>
      <w:pPr>
        <w:spacing w:after="120" w:line="336"/>
        <w:jc w:val="both"/>
      </w:pPr>
      <w:r>
        <w:t xml:space="preserve">The judgment is legally defensible but forensically revealing. The prosecution had no post-mortem, no eyewitness, and only a retracted, largely inadmissible account from the accused (police statements are barred by ss.25 and 26 of the Evidence Act)</w:t>
      </w:r>
      <w:r>
        <w:rPr>
          <w:rStyle w:val="FootnoteReference"/>
        </w:rPr>
        <w:footnoteReference w:id="12"/>
      </w:r>
      <w:r>
        <w:t xml:space="preserve">. So it could not rebut the provocation version with objective proof. The accused's conduct after the death was chilling, but courts rightly hesitate to infer intention from later acts alone. The public felt the outcome was lenient, especially given that the body was cut into hundreds of pieces. In law, however, the result followed directly from the evidentiary gaps. The outrage shows why the forensic record matters: the wound evidence destroyed by the accused was the evidence most needed to prove murder.</w:t>
      </w:r>
    </w:p>
    <w:p>
      <w:pPr>
        <w:pStyle w:val="Heading1"/>
      </w:pPr>
      <w:r>
        <w:t xml:space="preserve">8. Old Law v. New Law: IPC/CrPC/IEA to BNS/BNSS/BSA</w:t>
      </w:r>
    </w:p>
    <w:p>
      <w:pPr>
        <w:spacing w:after="120" w:line="336"/>
        <w:jc w:val="both"/>
      </w:pPr>
      <w:r>
        <w:t xml:space="preserve">From 1 July 2024, the Bharatiya Nyaya Sanhita (BNS), 2023, the Bharatiya Nagarik Suraksha Sanhita (BNSS), 2023 and the Bharatiya Sakshya Adhiniyam (BSA), 2023 replaced the IPC, CrPC and Indian Evidence Act.</w:t>
      </w:r>
      <w:r>
        <w:rPr>
          <w:rStyle w:val="FootnoteReference"/>
        </w:rPr>
        <w:footnoteReference w:id="13"/>
      </w:r>
      <w:r>
        <w:t xml:space="preserve"> If the same facts occurred today, the provisions would map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226"/>
      </w:tblGrid>
      <w:tr>
        <w:trPr>
          <w:tblHeader/>
        </w:trPr>
        <w:tc>
          <w:tcPr>
            <w:tcW w:type="dxa" w:w="2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pPr>
            <w:r>
              <w:rPr>
                <w:b/>
                <w:bCs/>
                <w:sz w:val="21"/>
                <w:szCs w:val="21"/>
              </w:rPr>
              <w:t xml:space="preserve">Old law (2008–2011)</w:t>
            </w:r>
          </w:p>
        </w:tc>
        <w:tc>
          <w:tcPr>
            <w:tcW w:type="dxa" w:w="2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pPr>
            <w:r>
              <w:rPr>
                <w:b/>
                <w:bCs/>
                <w:sz w:val="21"/>
                <w:szCs w:val="21"/>
              </w:rPr>
              <w:t xml:space="preserve">New law (2024)</w:t>
            </w:r>
          </w:p>
        </w:tc>
        <w:tc>
          <w:tcPr>
            <w:tcW w:type="dxa" w:w="3226"/>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spacing w:after="0"/>
            </w:pPr>
            <w:r>
              <w:rPr>
                <w:b/>
                <w:bCs/>
                <w:sz w:val="21"/>
                <w:szCs w:val="21"/>
              </w:rPr>
              <w:t xml:space="preserve">Change / observation</w:t>
            </w:r>
          </w:p>
        </w:tc>
      </w:tr>
      <w:tr>
        <w:trPr>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IPC s.300 &amp; Exceptions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BNS s.101 &amp; Exceptions</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Substance retained, including grave and sudden provocation and sudden fight.</w:t>
            </w:r>
          </w:p>
        </w:tc>
      </w:tr>
      <w:tr>
        <w:trPr>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IPC s.302 (murder)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BNS s.103(1)</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Death or life imprisonment and fine; unchanged in substance.</w:t>
            </w:r>
          </w:p>
        </w:tc>
      </w:tr>
      <w:tr>
        <w:trPr>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IPC s.304 Part I</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BNS s.105</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Same punishment: life, or up to 10 years, plus fine. Jerome's sentence would be identical.</w:t>
            </w:r>
          </w:p>
        </w:tc>
      </w:tr>
      <w:tr>
        <w:trPr>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IPC s.201</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BNS s.238</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Same structure; up to 7 years where the offence concealed is capital.</w:t>
            </w:r>
          </w:p>
        </w:tc>
      </w:tr>
      <w:tr>
        <w:trPr>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IPC s.120B / s.34</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BNS s.61(2) / s.3(5)</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Renumbered; same principles.</w:t>
            </w:r>
          </w:p>
        </w:tc>
      </w:tr>
      <w:tr>
        <w:trPr>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CrPC s.154 (FIR)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BNSS s.173</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Zero FIR and e-FIR recognised. A missing report showing a cognizable offence can be registered faster.</w:t>
            </w:r>
          </w:p>
        </w:tc>
      </w:tr>
      <w:tr>
        <w:trPr>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CrPC s.157</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BNSS s.176(3)</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Forensic experts must visit the scene for offences punishable with 7+ years, and the process must be videographed.</w:t>
            </w:r>
          </w:p>
        </w:tc>
      </w:tr>
      <w:tr>
        <w:trPr>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CrPC ss.100, 165</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BNSS ss.103, 105, 185</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Search and seizure must be audio-video recorded, preferably on a mobile phone.</w:t>
            </w:r>
          </w:p>
        </w:tc>
      </w:tr>
      <w:tr>
        <w:trPr>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CrPC s.293</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BNSS s.329</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Reports of government scientific experts remain admissible; list of experts expanded.</w:t>
            </w:r>
          </w:p>
        </w:tc>
      </w:tr>
      <w:tr>
        <w:trPr>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CrPC s.173</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BNSS s.193</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The victim must be informed of investigation progress within 90 days.</w:t>
            </w:r>
          </w:p>
        </w:tc>
      </w:tr>
      <w:tr>
        <w:trPr>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IEA s.45 / s.65B</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BSA s.39 / s.63</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Expert opinion retained. Electronic records (CDRs) are treated as primary evidence with a prescribed certificate.</w:t>
            </w:r>
          </w:p>
        </w:tc>
      </w:tr>
      <w:tr>
        <w:trPr>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IEA s.27</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BSA s.23 (proviso)</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t xml:space="preserve">Disclosure-led recovery (e.g. Manor site) remains admissible.</w:t>
            </w:r>
          </w:p>
        </w:tc>
      </w:tr>
    </w:tbl>
    <w:p>
      <w:pPr>
        <w:spacing w:after="120"/>
      </w:pPr>
    </w:p>
    <w:p>
      <w:pPr>
        <w:pStyle w:val="Heading2"/>
      </w:pPr>
      <w:r>
        <w:t xml:space="preserve">8.1 Key Changes and Observations</w:t>
      </w:r>
    </w:p>
    <w:p>
      <w:pPr>
        <w:spacing w:after="120" w:line="336"/>
        <w:jc w:val="both"/>
      </w:pPr>
      <w:r>
        <w:t xml:space="preserve">The substantive law on homicide has barely changed, so the legal result would probably be the same today. The real gains are procedural. Mandatory forensic scene visits and videography under BNSS s.176(3) would have produced a video record of the latch, the kitchen and the Manor site. That would strengthen the chain of custody and reduce custodial disputes. Recording of searches (s.105), treating electronic records as primary evidence (BSA s.63), and time limits for judgments (BNSS s.258) directly address the weaknesses seen in 2008–2011.</w:t>
      </w:r>
      <w:r>
        <w:rPr>
          <w:rStyle w:val="FootnoteReference"/>
        </w:rPr>
        <w:footnoteReference w:id="14"/>
      </w:r>
      <w:r>
        <w:t xml:space="preserve"> However, the new codes cannot restore evidence the accused have already destroyed. Speed of response is still the deciding factor.</w:t>
      </w:r>
    </w:p>
    <w:p>
      <w:pPr>
        <w:pStyle w:val="Heading1"/>
      </w:pPr>
      <w:r>
        <w:t xml:space="preserve">9. Submissions and Suggestions</w:t>
      </w:r>
    </w:p>
    <w:p>
      <w:pPr>
        <w:pStyle w:val="Heading2"/>
      </w:pPr>
      <w:r>
        <w:t xml:space="preserve">9.1 Loopholes Identified</w:t>
      </w:r>
    </w:p>
    <w:p>
      <w:pPr>
        <w:pStyle w:val="ListParagraph"/>
        <w:numPr>
          <w:ilvl w:val="0"/>
          <w:numId w:val="2"/>
        </w:numPr>
        <w:spacing w:after="60" w:line="312"/>
        <w:jc w:val="both"/>
      </w:pPr>
      <w:r>
        <w:t xml:space="preserve">A delay of 14 days between the killing and the arrest allowed cleaning, disposal and coordination between the accused.</w:t>
      </w:r>
    </w:p>
    <w:p>
      <w:pPr>
        <w:pStyle w:val="ListParagraph"/>
        <w:numPr>
          <w:ilvl w:val="0"/>
          <w:numId w:val="2"/>
        </w:numPr>
        <w:spacing w:after="60" w:line="312"/>
        <w:jc w:val="both"/>
      </w:pPr>
      <w:r>
        <w:t xml:space="preserve">Missing-person reports involving adults are often not treated as possible homicides, even when the last person seen with the victim gives an inconsistent account.</w:t>
      </w:r>
    </w:p>
    <w:p>
      <w:pPr>
        <w:pStyle w:val="ListParagraph"/>
        <w:numPr>
          <w:ilvl w:val="0"/>
          <w:numId w:val="2"/>
        </w:numPr>
        <w:spacing w:after="60" w:line="312"/>
        <w:jc w:val="both"/>
      </w:pPr>
      <w:r>
        <w:t xml:space="preserve">No post-mortem was possible, so the prosecution could not prove the nature of the injuries or intention.</w:t>
      </w:r>
    </w:p>
    <w:p>
      <w:pPr>
        <w:pStyle w:val="ListParagraph"/>
        <w:numPr>
          <w:ilvl w:val="0"/>
          <w:numId w:val="2"/>
        </w:numPr>
        <w:spacing w:after="60" w:line="312"/>
        <w:jc w:val="both"/>
      </w:pPr>
      <w:r>
        <w:t xml:space="preserve">The weapon was not recovered promptly, and the scene was not preserved or documented immediately.</w:t>
      </w:r>
    </w:p>
    <w:p>
      <w:pPr>
        <w:pStyle w:val="ListParagraph"/>
        <w:numPr>
          <w:ilvl w:val="0"/>
          <w:numId w:val="2"/>
        </w:numPr>
        <w:spacing w:after="60" w:line="312"/>
        <w:jc w:val="both"/>
      </w:pPr>
      <w:r>
        <w:t xml:space="preserve">Heavy reliance on custodial disclosures, which the defence could attack as coerced or retracted. Involuntary narco-analysis, a tempting shortcut in such cases, is now barred.</w:t>
      </w:r>
      <w:r>
        <w:rPr>
          <w:rStyle w:val="FootnoteReference"/>
        </w:rPr>
        <w:footnoteReference w:id="15"/>
      </w:r>
    </w:p>
    <w:p>
      <w:pPr>
        <w:pStyle w:val="ListParagraph"/>
        <w:numPr>
          <w:ilvl w:val="0"/>
          <w:numId w:val="2"/>
        </w:numPr>
        <w:spacing w:after="60" w:line="312"/>
        <w:jc w:val="both"/>
      </w:pPr>
      <w:r>
        <w:t xml:space="preserve">Intense media coverage created public expectations that were not tied to the evidence.</w:t>
      </w:r>
    </w:p>
    <w:p>
      <w:pPr>
        <w:pStyle w:val="Heading2"/>
      </w:pPr>
      <w:r>
        <w:t xml:space="preserve">9.2 Reforms and Investigative Improvements</w:t>
      </w:r>
    </w:p>
    <w:p>
      <w:pPr>
        <w:pStyle w:val="ListParagraph"/>
        <w:numPr>
          <w:ilvl w:val="0"/>
          <w:numId w:val="4"/>
        </w:numPr>
        <w:spacing w:after="60" w:line="312"/>
      </w:pPr>
      <w:r>
        <w:rPr>
          <w:b/>
          <w:bCs/>
        </w:rPr>
        <w:t xml:space="preserve">Risk-based missing-person protocol:</w:t>
      </w:r>
      <w:r>
        <w:t xml:space="preserve"> Automatically check CDRs and last-seen locations within 24–48 hours when the complainant is the last person to see the victim.</w:t>
      </w:r>
    </w:p>
    <w:p>
      <w:pPr>
        <w:pStyle w:val="ListParagraph"/>
        <w:numPr>
          <w:ilvl w:val="0"/>
          <w:numId w:val="4"/>
        </w:numPr>
        <w:spacing w:after="60" w:line="312"/>
      </w:pPr>
      <w:r>
        <w:rPr>
          <w:b/>
          <w:bCs/>
        </w:rPr>
        <w:t xml:space="preserve">Forensic-first scene response:</w:t>
      </w:r>
      <w:r>
        <w:t xml:space="preserve"> Luminol or other presumptive blood screening, examination of drains and U-bends, and alternate light sources at suspected clean-up scenes, as BNSS s.176(3) now requires.</w:t>
      </w:r>
    </w:p>
    <w:p>
      <w:pPr>
        <w:pStyle w:val="ListParagraph"/>
        <w:numPr>
          <w:ilvl w:val="0"/>
          <w:numId w:val="4"/>
        </w:numPr>
        <w:spacing w:after="60" w:line="312"/>
      </w:pPr>
      <w:r>
        <w:rPr>
          <w:b/>
          <w:bCs/>
        </w:rPr>
        <w:t xml:space="preserve">Burnt-remains protocol:</w:t>
      </w:r>
      <w:r>
        <w:t xml:space="preserve"> Grid search, sieving, geo-tagged photographs, and priority sampling of dense bones and teeth, with forensic odontology as a backup for identification.</w:t>
      </w:r>
    </w:p>
    <w:p>
      <w:pPr>
        <w:pStyle w:val="ListParagraph"/>
        <w:numPr>
          <w:ilvl w:val="0"/>
          <w:numId w:val="4"/>
        </w:numPr>
        <w:spacing w:after="60" w:line="312"/>
      </w:pPr>
      <w:r>
        <w:rPr>
          <w:b/>
          <w:bCs/>
        </w:rPr>
        <w:t xml:space="preserve">Digital chain of custody:</w:t>
      </w:r>
      <w:r>
        <w:t xml:space="preserve"> Barcoded evidence, tamper-evident seals and electronic custody logs from collection to FSL, supported by the BNSS video requirements.</w:t>
      </w:r>
    </w:p>
    <w:p>
      <w:pPr>
        <w:pStyle w:val="ListParagraph"/>
        <w:numPr>
          <w:ilvl w:val="0"/>
          <w:numId w:val="4"/>
        </w:numPr>
        <w:spacing w:after="60" w:line="312"/>
      </w:pPr>
      <w:r>
        <w:rPr>
          <w:b/>
          <w:bCs/>
        </w:rPr>
        <w:t xml:space="preserve">Faster DNA turnaround:</w:t>
      </w:r>
      <w:r>
        <w:t xml:space="preserve"> More DNA units in state FSLs, and a statutory DNA regulation framework, since the DNA Technology (Use and Application) Regulation Bill was withdrawn in 2023.</w:t>
      </w:r>
      <w:r>
        <w:rPr>
          <w:rStyle w:val="FootnoteReference"/>
        </w:rPr>
        <w:footnoteReference w:id="16"/>
      </w:r>
    </w:p>
    <w:p>
      <w:pPr>
        <w:pStyle w:val="ListParagraph"/>
        <w:numPr>
          <w:ilvl w:val="0"/>
          <w:numId w:val="4"/>
        </w:numPr>
        <w:spacing w:after="60" w:line="312"/>
      </w:pPr>
      <w:r>
        <w:rPr>
          <w:b/>
          <w:bCs/>
        </w:rPr>
        <w:t xml:space="preserve">Prosecution-investigator coordination:</w:t>
      </w:r>
      <w:r>
        <w:t xml:space="preserve"> Early involvement of prosecutors so that the evidence gathered targets the legal ingredients of intention, not just identity.</w:t>
      </w:r>
    </w:p>
    <w:p>
      <w:pPr>
        <w:pStyle w:val="ListParagraph"/>
        <w:numPr>
          <w:ilvl w:val="0"/>
          <w:numId w:val="4"/>
        </w:numPr>
        <w:spacing w:after="60" w:line="312"/>
      </w:pPr>
      <w:r>
        <w:rPr>
          <w:b/>
          <w:bCs/>
        </w:rPr>
        <w:t xml:space="preserve">Victims' rights:</w:t>
      </w:r>
      <w:r>
        <w:t xml:space="preserve"> Regular updates to the family (BNSS s.193(3)) and a stronger right to be heard in appeals.</w:t>
      </w:r>
    </w:p>
    <w:p>
      <w:pPr>
        <w:pStyle w:val="Heading1"/>
      </w:pPr>
      <w:r>
        <w:t xml:space="preserve">10. Conclusion and Lessons Learnt</w:t>
      </w:r>
    </w:p>
    <w:p>
      <w:pPr>
        <w:spacing w:after="120" w:line="336"/>
        <w:jc w:val="both"/>
      </w:pPr>
      <w:r>
        <w:t xml:space="preserve">The Neeraj Grover case shows both the power and the limits of forensic science. DNA from a few charred bones established identity and death beyond doubt. Blood on a latch defeated a deliberate clean-up. Phone records broke a false alibi. But forensic science could not show what happened in the moments of the stabbing, because the body that held that evidence had been destroyed. As a result, the accused who cut up and burnt the body escaped a murder conviction.</w:t>
      </w:r>
    </w:p>
    <w:p>
      <w:pPr>
        <w:pStyle w:val="Heading2"/>
      </w:pPr>
      <w:r>
        <w:t xml:space="preserve">10.1 Lessons for Investigators</w:t>
      </w:r>
    </w:p>
    <w:p>
      <w:pPr>
        <w:pStyle w:val="ListParagraph"/>
        <w:numPr>
          <w:ilvl w:val="0"/>
          <w:numId w:val="2"/>
        </w:numPr>
        <w:spacing w:after="60" w:line="312"/>
        <w:jc w:val="both"/>
      </w:pPr>
      <w:r>
        <w:t xml:space="preserve">Treat a suspicious "missing person" as a possible homicide from day one. The first 48 hours decide what evidence survives.</w:t>
      </w:r>
    </w:p>
    <w:p>
      <w:pPr>
        <w:pStyle w:val="ListParagraph"/>
        <w:numPr>
          <w:ilvl w:val="0"/>
          <w:numId w:val="2"/>
        </w:numPr>
        <w:spacing w:after="60" w:line="312"/>
        <w:jc w:val="both"/>
      </w:pPr>
      <w:r>
        <w:t xml:space="preserve">A cleaned scene is not a clean scene. Search hidden surfaces and plumbing.</w:t>
      </w:r>
    </w:p>
    <w:p>
      <w:pPr>
        <w:pStyle w:val="ListParagraph"/>
        <w:numPr>
          <w:ilvl w:val="0"/>
          <w:numId w:val="2"/>
        </w:numPr>
        <w:spacing w:after="60" w:line="312"/>
        <w:jc w:val="both"/>
      </w:pPr>
      <w:r>
        <w:t xml:space="preserve">Collect evidence of intention (weapon, injuries, planning) as well as evidence of identity.</w:t>
      </w:r>
    </w:p>
    <w:p>
      <w:pPr>
        <w:pStyle w:val="Heading2"/>
      </w:pPr>
      <w:r>
        <w:t xml:space="preserve">10.2 Lessons for Forensic Scientists</w:t>
      </w:r>
    </w:p>
    <w:p>
      <w:pPr>
        <w:pStyle w:val="ListParagraph"/>
        <w:numPr>
          <w:ilvl w:val="0"/>
          <w:numId w:val="2"/>
        </w:numPr>
        <w:spacing w:after="60" w:line="312"/>
        <w:jc w:val="both"/>
      </w:pPr>
      <w:r>
        <w:t xml:space="preserve">Choose samples wisely. Dense cortical bone gives DNA even after fire.</w:t>
      </w:r>
    </w:p>
    <w:p>
      <w:pPr>
        <w:pStyle w:val="ListParagraph"/>
        <w:numPr>
          <w:ilvl w:val="0"/>
          <w:numId w:val="2"/>
        </w:numPr>
        <w:spacing w:after="60" w:line="312"/>
        <w:jc w:val="both"/>
      </w:pPr>
      <w:r>
        <w:t xml:space="preserve">Document methods, controls and custody so thoroughly that a 20-day cross-examination cannot break them.</w:t>
      </w:r>
    </w:p>
    <w:p>
      <w:pPr>
        <w:pStyle w:val="ListParagraph"/>
        <w:numPr>
          <w:ilvl w:val="0"/>
          <w:numId w:val="2"/>
        </w:numPr>
        <w:spacing w:after="60" w:line="312"/>
        <w:jc w:val="both"/>
      </w:pPr>
      <w:r>
        <w:t xml:space="preserve">Report both the limits of findings and the findings themselves. Honest limits strengthen credibility.</w:t>
      </w:r>
    </w:p>
    <w:p>
      <w:pPr>
        <w:pStyle w:val="Heading2"/>
      </w:pPr>
      <w:r>
        <w:t xml:space="preserve">10.3 Lessons for Lawyers</w:t>
      </w:r>
    </w:p>
    <w:p>
      <w:pPr>
        <w:pStyle w:val="ListParagraph"/>
        <w:numPr>
          <w:ilvl w:val="0"/>
          <w:numId w:val="2"/>
        </w:numPr>
        <w:spacing w:after="60" w:line="312"/>
        <w:jc w:val="both"/>
      </w:pPr>
      <w:r>
        <w:t xml:space="preserve">For the prosecution, motive and conduct after the crime are not substitutes for proof of intention at the moment of the act.</w:t>
      </w:r>
    </w:p>
    <w:p>
      <w:pPr>
        <w:pStyle w:val="ListParagraph"/>
        <w:numPr>
          <w:ilvl w:val="0"/>
          <w:numId w:val="2"/>
        </w:numPr>
        <w:spacing w:after="60" w:line="312"/>
        <w:jc w:val="both"/>
      </w:pPr>
      <w:r>
        <w:t xml:space="preserve">For the defence, the Exceptions to s.300 (now s.101 BNS) and attacks on the chain of custody are powerful tools when there is no post-mortem.</w:t>
      </w:r>
    </w:p>
    <w:p>
      <w:pPr>
        <w:pStyle w:val="ListParagraph"/>
        <w:numPr>
          <w:ilvl w:val="0"/>
          <w:numId w:val="2"/>
        </w:numPr>
        <w:spacing w:after="60" w:line="312"/>
        <w:jc w:val="both"/>
      </w:pPr>
      <w:r>
        <w:t xml:space="preserve">For both sides and the courts, verdicts must rest on evidence, not public sentiment. This case is a reminder of the principle behind the </w:t>
      </w:r>
      <w:r>
        <w:rPr>
          <w:i/>
          <w:iCs/>
        </w:rPr>
        <w:t xml:space="preserve">Nanavati</w:t>
      </w:r>
      <w:r>
        <w:t xml:space="preserve"> judgment.</w:t>
      </w:r>
    </w:p>
    <w:p>
      <w:pPr>
        <w:spacing w:after="120" w:line="336"/>
        <w:jc w:val="both"/>
      </w:pPr>
      <w:r>
        <w:t xml:space="preserve">Ultimately, the case teaches that justice depends on how quickly and carefully the truth is preserved, not on how shocking the crime is.</w:t>
      </w:r>
    </w:p>
    <w:p>
      <w:pPr>
        <w:pStyle w:val="Heading1"/>
      </w:pPr>
      <w:r>
        <w:t xml:space="preserve">Bibliography</w:t>
      </w:r>
    </w:p>
    <w:p>
      <w:pPr>
        <w:pStyle w:val="Heading2"/>
      </w:pPr>
      <w:r>
        <w:t xml:space="preserve">Cases</w:t>
      </w:r>
    </w:p>
    <w:p>
      <w:pPr>
        <w:spacing w:after="100"/>
        <w:ind w:left="720" w:hanging="720"/>
      </w:pPr>
      <w:r>
        <w:rPr>
          <w:i/>
          <w:iCs/>
        </w:rPr>
        <w:t xml:space="preserve">K.M. Nanavati</w:t>
      </w:r>
      <w:r>
        <w:t xml:space="preserve"> v. </w:t>
      </w:r>
      <w:r>
        <w:rPr>
          <w:i/>
          <w:iCs/>
        </w:rPr>
        <w:t xml:space="preserve">State of Maharashtra</w:t>
      </w:r>
      <w:r>
        <w:t xml:space="preserve">, AIR 1962 SC 605.</w:t>
      </w:r>
    </w:p>
    <w:p>
      <w:pPr>
        <w:spacing w:after="100"/>
        <w:ind w:left="720" w:hanging="720"/>
      </w:pPr>
      <w:r>
        <w:rPr>
          <w:i/>
          <w:iCs/>
        </w:rPr>
        <w:t xml:space="preserve">Selvi</w:t>
      </w:r>
      <w:r>
        <w:t xml:space="preserve"> v. </w:t>
      </w:r>
      <w:r>
        <w:rPr>
          <w:i/>
          <w:iCs/>
        </w:rPr>
        <w:t xml:space="preserve">State of Karnataka</w:t>
      </w:r>
      <w:r>
        <w:t xml:space="preserve">, (2010) 7 SCC 263.</w:t>
      </w:r>
    </w:p>
    <w:p>
      <w:pPr>
        <w:spacing w:after="100"/>
        <w:ind w:left="720" w:hanging="720"/>
      </w:pPr>
      <w:r>
        <w:rPr>
          <w:i/>
          <w:iCs/>
        </w:rPr>
        <w:t xml:space="preserve">State of Maharashtra</w:t>
      </w:r>
      <w:r>
        <w:t xml:space="preserve"> v. </w:t>
      </w:r>
      <w:r>
        <w:rPr>
          <w:i/>
          <w:iCs/>
        </w:rPr>
        <w:t xml:space="preserve">Maria Monica Susairaj &amp; Anr.</w:t>
      </w:r>
      <w:r>
        <w:t xml:space="preserve">, Sessions Case (Sessions Court, Greater Mumbai, June 30, 2011) (Unreported).</w:t>
      </w:r>
    </w:p>
    <w:p>
      <w:pPr>
        <w:spacing w:after="100"/>
        <w:ind w:left="720" w:hanging="720"/>
      </w:pPr>
      <w:r>
        <w:t xml:space="preserve">Related judgment, available at https://indiankanoon.org/doc/13479001/ (Last visited on September 24, 2026).</w:t>
      </w:r>
    </w:p>
    <w:p>
      <w:pPr>
        <w:pStyle w:val="Heading2"/>
      </w:pPr>
      <w:r>
        <w:t xml:space="preserve">Statutes and Bills</w:t>
      </w:r>
    </w:p>
    <w:p>
      <w:pPr>
        <w:spacing w:after="100"/>
        <w:ind w:left="720" w:hanging="720"/>
      </w:pPr>
      <w:r>
        <w:t xml:space="preserve">The Bharatiya Nagarik Suraksha Sanhita, 2023.</w:t>
      </w:r>
    </w:p>
    <w:p>
      <w:pPr>
        <w:spacing w:after="100"/>
        <w:ind w:left="720" w:hanging="720"/>
      </w:pPr>
      <w:r>
        <w:t xml:space="preserve">The Bharatiya Nyaya Sanhita, 2023.</w:t>
      </w:r>
    </w:p>
    <w:p>
      <w:pPr>
        <w:spacing w:after="100"/>
        <w:ind w:left="720" w:hanging="720"/>
      </w:pPr>
      <w:r>
        <w:t xml:space="preserve">The Bharatiya Sakshya Adhiniyam, 2023.</w:t>
      </w:r>
    </w:p>
    <w:p>
      <w:pPr>
        <w:spacing w:after="100"/>
        <w:ind w:left="720" w:hanging="720"/>
      </w:pPr>
      <w:r>
        <w:t xml:space="preserve">The Code of Criminal Procedure, 1973.</w:t>
      </w:r>
    </w:p>
    <w:p>
      <w:pPr>
        <w:spacing w:after="100"/>
        <w:ind w:left="720" w:hanging="720"/>
      </w:pPr>
      <w:r>
        <w:t xml:space="preserve">The DNA Technology (Use and Application) Regulation Bill, 2019.</w:t>
      </w:r>
    </w:p>
    <w:p>
      <w:pPr>
        <w:spacing w:after="100"/>
        <w:ind w:left="720" w:hanging="720"/>
      </w:pPr>
      <w:r>
        <w:t xml:space="preserve">The Indian Evidence Act, 1872.</w:t>
      </w:r>
    </w:p>
    <w:p>
      <w:pPr>
        <w:spacing w:after="100"/>
        <w:ind w:left="720" w:hanging="720"/>
      </w:pPr>
      <w:r>
        <w:t xml:space="preserve">The Indian Penal Code, 1860.</w:t>
      </w:r>
    </w:p>
    <w:p>
      <w:pPr>
        <w:pStyle w:val="Heading2"/>
      </w:pPr>
      <w:r>
        <w:t xml:space="preserve">News Reports and Online Sources</w:t>
      </w:r>
    </w:p>
    <w:p>
      <w:pPr>
        <w:spacing w:after="100"/>
        <w:ind w:left="720" w:hanging="720"/>
      </w:pPr>
      <w:r>
        <w:rPr>
          <w:i/>
          <w:iCs/>
        </w:rPr>
        <w:t xml:space="preserve">Forensic Evidence Helped Solve Neeraj Grover Murder Case</w:t>
      </w:r>
      <w:r>
        <w:t xml:space="preserve">, </w:t>
      </w:r>
      <w:r>
        <w:rPr>
          <w:smallCaps/>
        </w:rPr>
        <w:t xml:space="preserve">DNA</w:t>
      </w:r>
      <w:r>
        <w:t xml:space="preserve"> (Mumbai), available at https://www.dnaindia.com/mumbai/report-forensic-evidence-helped-solve-neeraj-grover-murder-case-1561005 (Last visited on September 24, 2026).</w:t>
      </w:r>
    </w:p>
    <w:p>
      <w:pPr>
        <w:spacing w:after="100"/>
        <w:ind w:left="720" w:hanging="720"/>
      </w:pPr>
      <w:r>
        <w:rPr>
          <w:i/>
          <w:iCs/>
        </w:rPr>
        <w:t xml:space="preserve">Forensic TA-1 Assignment</w:t>
      </w:r>
      <w:r>
        <w:t xml:space="preserve">, </w:t>
      </w:r>
      <w:r>
        <w:rPr>
          <w:smallCaps/>
        </w:rPr>
        <w:t xml:space="preserve">Scribd</w:t>
      </w:r>
      <w:r>
        <w:t xml:space="preserve">, available at https://www.scribd.com/document/986004743/Forensic-Ta1-Assignment (Last visited on September 24, 2026).</w:t>
      </w:r>
    </w:p>
    <w:p>
      <w:pPr>
        <w:spacing w:after="100"/>
        <w:ind w:left="720" w:hanging="720"/>
      </w:pPr>
      <w:r>
        <w:rPr>
          <w:i/>
          <w:iCs/>
        </w:rPr>
        <w:t xml:space="preserve">India Murder Case Actress Walks Free</w:t>
      </w:r>
      <w:r>
        <w:t xml:space="preserve">, </w:t>
      </w:r>
      <w:r>
        <w:rPr>
          <w:smallCaps/>
        </w:rPr>
        <w:t xml:space="preserve">Al Jazeera</w:t>
      </w:r>
      <w:r>
        <w:t xml:space="preserve">, July 3, 2011, available at https://www.aljazeera.com/news/2011/7/3/india-murder-case-actress-walks-free (Last visited on September 24, 2026).</w:t>
      </w:r>
    </w:p>
    <w:p>
      <w:pPr>
        <w:spacing w:after="100"/>
        <w:ind w:left="720" w:hanging="720"/>
      </w:pPr>
      <w:r>
        <w:rPr>
          <w:i/>
          <w:iCs/>
        </w:rPr>
        <w:t xml:space="preserve">Neeraj Grover Case: 300 Pieces of Evidence and an Unfair Verdict?</w:t>
      </w:r>
      <w:r>
        <w:t xml:space="preserve">, </w:t>
      </w:r>
      <w:r>
        <w:rPr>
          <w:smallCaps/>
        </w:rPr>
        <w:t xml:space="preserve">The Asian Age</w:t>
      </w:r>
      <w:r>
        <w:t xml:space="preserve">, available at http://archive.asianage.com/india/neeraj-grover-case-300-pieces-evidence-and-unfair-verdict-546 (Last visited on September 24, 2026).</w:t>
      </w:r>
    </w:p>
    <w:p>
      <w:pPr>
        <w:spacing w:after="100"/>
        <w:ind w:left="720" w:hanging="720"/>
      </w:pPr>
      <w:r>
        <w:rPr>
          <w:i/>
          <w:iCs/>
        </w:rPr>
        <w:t xml:space="preserve">Neeraj Grover Case: Emile Jerome Challenges His Conviction</w:t>
      </w:r>
      <w:r>
        <w:t xml:space="preserve">, </w:t>
      </w:r>
      <w:r>
        <w:rPr>
          <w:smallCaps/>
        </w:rPr>
        <w:t xml:space="preserve">DNA</w:t>
      </w:r>
      <w:r>
        <w:t xml:space="preserve"> (Mumbai), available at https://www.dnaindia.com/mumbai/report-neeraj-grover-case-emile-jerome-challenges-his-conviction-1566549 (Last visited on September 24, 2026).</w:t>
      </w:r>
    </w:p>
    <w:p>
      <w:pPr>
        <w:spacing w:after="100"/>
        <w:ind w:left="720" w:hanging="720"/>
      </w:pPr>
      <w:r>
        <w:rPr>
          <w:i/>
          <w:iCs/>
        </w:rPr>
        <w:t xml:space="preserve">Neeraj Grover Murder Case</w:t>
      </w:r>
      <w:r>
        <w:t xml:space="preserve">, </w:t>
      </w:r>
      <w:r>
        <w:rPr>
          <w:smallCaps/>
        </w:rPr>
        <w:t xml:space="preserve">Wikipedia</w:t>
      </w:r>
      <w:r>
        <w:t xml:space="preserve">, available at https://en.wikipedia.org/wiki/Neeraj_Grover_murder_case (Last visited on September 24, 2026).</w:t>
      </w:r>
    </w:p>
    <w:p>
      <w:pPr>
        <w:spacing w:after="100"/>
        <w:ind w:left="720" w:hanging="720"/>
      </w:pPr>
      <w:r>
        <w:rPr>
          <w:i/>
          <w:iCs/>
        </w:rPr>
        <w:t xml:space="preserve">SMS on Neeraj Grover's Cell that Cracked Murder Case</w:t>
      </w:r>
      <w:r>
        <w:t xml:space="preserve">, </w:t>
      </w:r>
      <w:r>
        <w:rPr>
          <w:smallCaps/>
        </w:rPr>
        <w:t xml:space="preserve">DNA</w:t>
      </w:r>
      <w:r>
        <w:t xml:space="preserve"> (Mumbai), available at https://www.dnaindia.com/mumbai/report-sms-on-neeraj-grover-s-cell-that-cracked-murder-case-1561009 (Last visited on September 24, 2026).</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jc w:val="both"/>
      </w:pPr>
      <w:r>
        <w:rPr>
          <w:rStyle w:val="FootnoteReference"/>
        </w:rPr>
        <w:footnoteRef/>
      </w:r>
      <w:r>
        <w:rPr>
          <w:i/>
          <w:iCs/>
          <w:sz w:val="20"/>
          <w:szCs w:val="20"/>
        </w:rPr>
        <w:t xml:space="preserve">State of Maharashtra</w:t>
      </w:r>
      <w:r>
        <w:rPr>
          <w:sz w:val="20"/>
          <w:szCs w:val="20"/>
        </w:rPr>
        <w:t xml:space="preserve"> v. </w:t>
      </w:r>
      <w:r>
        <w:rPr>
          <w:i/>
          <w:iCs/>
          <w:sz w:val="20"/>
          <w:szCs w:val="20"/>
        </w:rPr>
        <w:t xml:space="preserve">Maria Monica Susairaj &amp; Anr.</w:t>
      </w:r>
      <w:r>
        <w:rPr>
          <w:sz w:val="20"/>
          <w:szCs w:val="20"/>
        </w:rPr>
        <w:t xml:space="preserve">, Sessions Case (Sessions Court, Greater Mumbai, June 30, 2011) (Unreported), available at https://www.scribd.com/document/63510572/Maria-Monica-Susairaj-Sessions-Court-Judgement-Mumbai (Last visited on September 24, 2026).</w:t>
      </w:r>
    </w:p>
  </w:footnote>
  <w:footnote w:id="2">
    <w:p>
      <w:pPr>
        <w:jc w:val="both"/>
      </w:pPr>
      <w:r>
        <w:rPr>
          <w:rStyle w:val="FootnoteReference"/>
        </w:rPr>
        <w:footnoteRef/>
      </w:r>
      <w:r>
        <w:rPr>
          <w:i/>
          <w:iCs/>
          <w:sz w:val="20"/>
          <w:szCs w:val="20"/>
        </w:rPr>
        <w:t xml:space="preserve">Neeraj Grover Case: 300 Pieces of Evidence and an Unfair Verdict?</w:t>
      </w:r>
      <w:r>
        <w:rPr>
          <w:sz w:val="20"/>
          <w:szCs w:val="20"/>
        </w:rPr>
        <w:t xml:space="preserve">, </w:t>
      </w:r>
      <w:r>
        <w:rPr>
          <w:smallCaps/>
          <w:sz w:val="20"/>
          <w:szCs w:val="20"/>
        </w:rPr>
        <w:t xml:space="preserve">The Asian Age</w:t>
      </w:r>
      <w:r>
        <w:rPr>
          <w:sz w:val="20"/>
          <w:szCs w:val="20"/>
        </w:rPr>
        <w:t xml:space="preserve">, available at http://archive.asianage.com/india/neeraj-grover-case-300-pieces-evidence-and-unfair-verdict-546 (Last visited on September 24, 2026).</w:t>
      </w:r>
    </w:p>
  </w:footnote>
  <w:footnote w:id="3">
    <w:p>
      <w:pPr>
        <w:jc w:val="both"/>
      </w:pPr>
      <w:r>
        <w:rPr>
          <w:rStyle w:val="FootnoteReference"/>
        </w:rPr>
        <w:footnoteRef/>
      </w:r>
      <w:r>
        <w:rPr>
          <w:i/>
          <w:iCs/>
          <w:sz w:val="20"/>
          <w:szCs w:val="20"/>
        </w:rPr>
        <w:t xml:space="preserve">Neeraj Grover Case: Emile Jerome Challenges His Conviction</w:t>
      </w:r>
      <w:r>
        <w:rPr>
          <w:sz w:val="20"/>
          <w:szCs w:val="20"/>
        </w:rPr>
        <w:t xml:space="preserve">, </w:t>
      </w:r>
      <w:r>
        <w:rPr>
          <w:smallCaps/>
          <w:sz w:val="20"/>
          <w:szCs w:val="20"/>
        </w:rPr>
        <w:t xml:space="preserve">DNA</w:t>
      </w:r>
      <w:r>
        <w:rPr>
          <w:sz w:val="20"/>
          <w:szCs w:val="20"/>
        </w:rPr>
        <w:t xml:space="preserve"> (Mumbai), available at https://www.dnaindia.com/mumbai/report-neeraj-grover-case-emile-jerome-challenges-his-conviction-1566549 (Last visited on September 24, 2026).</w:t>
      </w:r>
    </w:p>
  </w:footnote>
  <w:footnote w:id="4">
    <w:p>
      <w:pPr>
        <w:jc w:val="both"/>
      </w:pPr>
      <w:r>
        <w:rPr>
          <w:rStyle w:val="FootnoteReference"/>
        </w:rPr>
        <w:footnoteRef/>
      </w:r>
      <w:r>
        <w:rPr>
          <w:i/>
          <w:iCs/>
          <w:sz w:val="20"/>
          <w:szCs w:val="20"/>
        </w:rPr>
        <w:t xml:space="preserve">Supra</w:t>
      </w:r>
      <w:r>
        <w:rPr>
          <w:sz w:val="20"/>
          <w:szCs w:val="20"/>
        </w:rPr>
        <w:t xml:space="preserve"> note 1.</w:t>
      </w:r>
    </w:p>
  </w:footnote>
  <w:footnote w:id="5">
    <w:p>
      <w:pPr>
        <w:jc w:val="both"/>
      </w:pPr>
      <w:r>
        <w:rPr>
          <w:rStyle w:val="FootnoteReference"/>
        </w:rPr>
        <w:footnoteRef/>
      </w:r>
      <w:r>
        <w:rPr>
          <w:i/>
          <w:iCs/>
          <w:sz w:val="20"/>
          <w:szCs w:val="20"/>
        </w:rPr>
        <w:t xml:space="preserve">SMS on Neeraj Grover's Cell that Cracked Murder Case</w:t>
      </w:r>
      <w:r>
        <w:rPr>
          <w:sz w:val="20"/>
          <w:szCs w:val="20"/>
        </w:rPr>
        <w:t xml:space="preserve">, </w:t>
      </w:r>
      <w:r>
        <w:rPr>
          <w:smallCaps/>
          <w:sz w:val="20"/>
          <w:szCs w:val="20"/>
        </w:rPr>
        <w:t xml:space="preserve">DNA</w:t>
      </w:r>
      <w:r>
        <w:rPr>
          <w:sz w:val="20"/>
          <w:szCs w:val="20"/>
        </w:rPr>
        <w:t xml:space="preserve"> (Mumbai), available at https://www.dnaindia.com/mumbai/report-sms-on-neeraj-grover-s-cell-that-cracked-murder-case-1561009 (Last visited on September 24, 2026).</w:t>
      </w:r>
    </w:p>
  </w:footnote>
  <w:footnote w:id="6">
    <w:p>
      <w:pPr>
        <w:jc w:val="both"/>
      </w:pPr>
      <w:r>
        <w:rPr>
          <w:rStyle w:val="FootnoteReference"/>
        </w:rPr>
        <w:footnoteRef/>
      </w:r>
      <w:r>
        <w:rPr>
          <w:i/>
          <w:iCs/>
          <w:sz w:val="20"/>
          <w:szCs w:val="20"/>
        </w:rPr>
        <w:t xml:space="preserve">Forensic Evidence Helped Solve Neeraj Grover Murder Case</w:t>
      </w:r>
      <w:r>
        <w:rPr>
          <w:sz w:val="20"/>
          <w:szCs w:val="20"/>
        </w:rPr>
        <w:t xml:space="preserve">, </w:t>
      </w:r>
      <w:r>
        <w:rPr>
          <w:smallCaps/>
          <w:sz w:val="20"/>
          <w:szCs w:val="20"/>
        </w:rPr>
        <w:t xml:space="preserve">DNA</w:t>
      </w:r>
      <w:r>
        <w:rPr>
          <w:sz w:val="20"/>
          <w:szCs w:val="20"/>
        </w:rPr>
        <w:t xml:space="preserve"> (Mumbai), available at https://www.dnaindia.com/mumbai/report-forensic-evidence-helped-solve-neeraj-grover-murder-case-1561005 (Last visited on September 24, 2026).</w:t>
      </w:r>
    </w:p>
  </w:footnote>
  <w:footnote w:id="7">
    <w:p>
      <w:pPr>
        <w:jc w:val="both"/>
      </w:pPr>
      <w:r>
        <w:rPr>
          <w:rStyle w:val="FootnoteReference"/>
        </w:rPr>
        <w:footnoteRef/>
      </w:r>
      <w:r>
        <w:rPr>
          <w:i/>
          <w:iCs/>
          <w:sz w:val="20"/>
          <w:szCs w:val="20"/>
        </w:rPr>
        <w:t xml:space="preserve">Id.</w:t>
      </w:r>
    </w:p>
  </w:footnote>
  <w:footnote w:id="8">
    <w:p>
      <w:pPr>
        <w:jc w:val="both"/>
      </w:pPr>
      <w:r>
        <w:rPr>
          <w:rStyle w:val="FootnoteReference"/>
        </w:rPr>
        <w:footnoteRef/>
      </w:r>
      <w:r>
        <w:rPr>
          <w:i/>
          <w:iCs/>
          <w:sz w:val="20"/>
          <w:szCs w:val="20"/>
        </w:rPr>
        <w:t xml:space="preserve">Supra</w:t>
      </w:r>
      <w:r>
        <w:rPr>
          <w:sz w:val="20"/>
          <w:szCs w:val="20"/>
        </w:rPr>
        <w:t xml:space="preserve"> note 5.</w:t>
      </w:r>
    </w:p>
  </w:footnote>
  <w:footnote w:id="9">
    <w:p>
      <w:pPr>
        <w:jc w:val="both"/>
      </w:pPr>
      <w:r>
        <w:rPr>
          <w:rStyle w:val="FootnoteReference"/>
        </w:rPr>
        <w:footnoteRef/>
      </w:r>
      <w:r>
        <w:rPr>
          <w:sz w:val="20"/>
          <w:szCs w:val="20"/>
        </w:rPr>
        <w:t xml:space="preserve">The Indian Evidence Act, 1872, §45; The Code of Criminal Procedure, 1973, §293.</w:t>
      </w:r>
    </w:p>
  </w:footnote>
  <w:footnote w:id="10">
    <w:p>
      <w:pPr>
        <w:jc w:val="both"/>
      </w:pPr>
      <w:r>
        <w:rPr>
          <w:rStyle w:val="FootnoteReference"/>
        </w:rPr>
        <w:footnoteRef/>
      </w:r>
      <w:r>
        <w:rPr>
          <w:i/>
          <w:iCs/>
          <w:sz w:val="20"/>
          <w:szCs w:val="20"/>
        </w:rPr>
        <w:t xml:space="preserve">K.M. Nanavati</w:t>
      </w:r>
      <w:r>
        <w:rPr>
          <w:sz w:val="20"/>
          <w:szCs w:val="20"/>
        </w:rPr>
        <w:t xml:space="preserve"> v. </w:t>
      </w:r>
      <w:r>
        <w:rPr>
          <w:i/>
          <w:iCs/>
          <w:sz w:val="20"/>
          <w:szCs w:val="20"/>
        </w:rPr>
        <w:t xml:space="preserve">State of Maharashtra</w:t>
      </w:r>
      <w:r>
        <w:rPr>
          <w:sz w:val="20"/>
          <w:szCs w:val="20"/>
        </w:rPr>
        <w:t xml:space="preserve">, AIR 1962 SC 605.</w:t>
      </w:r>
    </w:p>
  </w:footnote>
  <w:footnote w:id="11">
    <w:p>
      <w:pPr>
        <w:jc w:val="both"/>
      </w:pPr>
      <w:r>
        <w:rPr>
          <w:rStyle w:val="FootnoteReference"/>
        </w:rPr>
        <w:footnoteRef/>
      </w:r>
      <w:r>
        <w:rPr>
          <w:i/>
          <w:iCs/>
          <w:sz w:val="20"/>
          <w:szCs w:val="20"/>
        </w:rPr>
        <w:t xml:space="preserve">India Murder Case Actress Walks Free</w:t>
      </w:r>
      <w:r>
        <w:rPr>
          <w:sz w:val="20"/>
          <w:szCs w:val="20"/>
        </w:rPr>
        <w:t xml:space="preserve">, </w:t>
      </w:r>
      <w:r>
        <w:rPr>
          <w:smallCaps/>
          <w:sz w:val="20"/>
          <w:szCs w:val="20"/>
        </w:rPr>
        <w:t xml:space="preserve">Al Jazeera</w:t>
      </w:r>
      <w:r>
        <w:rPr>
          <w:sz w:val="20"/>
          <w:szCs w:val="20"/>
        </w:rPr>
        <w:t xml:space="preserve">, July 3, 2011, available at https://www.aljazeera.com/news/2011/7/3/india-murder-case-actress-walks-free (Last visited on September 24, 2026).</w:t>
      </w:r>
    </w:p>
  </w:footnote>
  <w:footnote w:id="12">
    <w:p>
      <w:pPr>
        <w:jc w:val="both"/>
      </w:pPr>
      <w:r>
        <w:rPr>
          <w:rStyle w:val="FootnoteReference"/>
        </w:rPr>
        <w:footnoteRef/>
      </w:r>
      <w:r>
        <w:rPr>
          <w:sz w:val="20"/>
          <w:szCs w:val="20"/>
        </w:rPr>
        <w:t xml:space="preserve">The Indian Evidence Act, 1872, §§25, 26, 27.</w:t>
      </w:r>
    </w:p>
  </w:footnote>
  <w:footnote w:id="13">
    <w:p>
      <w:pPr>
        <w:jc w:val="both"/>
      </w:pPr>
      <w:r>
        <w:rPr>
          <w:rStyle w:val="FootnoteReference"/>
        </w:rPr>
        <w:footnoteRef/>
      </w:r>
      <w:r>
        <w:rPr>
          <w:sz w:val="20"/>
          <w:szCs w:val="20"/>
        </w:rPr>
        <w:t xml:space="preserve">The Bharatiya Nyaya Sanhita, 2023; The Bharatiya Nagarik Suraksha Sanhita, 2023; The Bharatiya Sakshya Adhiniyam, 2023.</w:t>
      </w:r>
    </w:p>
  </w:footnote>
  <w:footnote w:id="14">
    <w:p>
      <w:pPr>
        <w:jc w:val="both"/>
      </w:pPr>
      <w:r>
        <w:rPr>
          <w:rStyle w:val="FootnoteReference"/>
        </w:rPr>
        <w:footnoteRef/>
      </w:r>
      <w:r>
        <w:rPr>
          <w:sz w:val="20"/>
          <w:szCs w:val="20"/>
        </w:rPr>
        <w:t xml:space="preserve">The Bharatiya Nagarik Suraksha Sanhita, 2023, §§105, 176(3), 258.</w:t>
      </w:r>
    </w:p>
  </w:footnote>
  <w:footnote w:id="15">
    <w:p>
      <w:pPr>
        <w:jc w:val="both"/>
      </w:pPr>
      <w:r>
        <w:rPr>
          <w:rStyle w:val="FootnoteReference"/>
        </w:rPr>
        <w:footnoteRef/>
      </w:r>
      <w:r>
        <w:rPr>
          <w:i/>
          <w:iCs/>
          <w:sz w:val="20"/>
          <w:szCs w:val="20"/>
        </w:rPr>
        <w:t xml:space="preserve">Selvi</w:t>
      </w:r>
      <w:r>
        <w:rPr>
          <w:sz w:val="20"/>
          <w:szCs w:val="20"/>
        </w:rPr>
        <w:t xml:space="preserve"> v. </w:t>
      </w:r>
      <w:r>
        <w:rPr>
          <w:i/>
          <w:iCs/>
          <w:sz w:val="20"/>
          <w:szCs w:val="20"/>
        </w:rPr>
        <w:t xml:space="preserve">State of Karnataka</w:t>
      </w:r>
      <w:r>
        <w:rPr>
          <w:sz w:val="20"/>
          <w:szCs w:val="20"/>
        </w:rPr>
        <w:t xml:space="preserve">, (2010) 7 SCC 263.</w:t>
      </w:r>
    </w:p>
  </w:footnote>
  <w:footnote w:id="16">
    <w:p>
      <w:pPr>
        <w:jc w:val="both"/>
      </w:pPr>
      <w:r>
        <w:rPr>
          <w:rStyle w:val="FootnoteReference"/>
        </w:rPr>
        <w:footnoteRef/>
      </w:r>
      <w:r>
        <w:rPr>
          <w:sz w:val="20"/>
          <w:szCs w:val="20"/>
        </w:rPr>
        <w:t xml:space="preserve">The DNA Technology (Use and Application) Regulation Bill, 2019 (withdrawn in 2023).</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i/>
      <w:i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2026-09-24T21:02:54.455Z</dcterms:created>
  <dcterms:modified xsi:type="dcterms:W3CDTF">2026-09-24T21:02:54.458Z</dcterms:modified>
</cp:coreProperties>
</file>

<file path=docProps/custom.xml><?xml version="1.0" encoding="utf-8"?>
<Properties xmlns="http://schemas.openxmlformats.org/officeDocument/2006/custom-properties" xmlns:vt="http://schemas.openxmlformats.org/officeDocument/2006/docPropsVTypes"/>
</file>