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1A2E"/>
          <w:sz w:val="48"/>
          <w:szCs w:val="48"/>
        </w:rPr>
        <w:t xml:space="preserve">GLOBAL SUPERSTORE ANALYTICS</w:t>
      </w:r>
    </w:p>
    <w:p>
      <w:pPr>
        <w:spacing w:after="100" w:before="100"/>
        <w:jc w:val="center"/>
      </w:pPr>
      <w:r>
        <w:rPr>
          <w:rFonts w:ascii="Arial" w:cs="Arial" w:eastAsia="Arial" w:hAnsi="Arial"/>
          <w:color w:val="555555"/>
          <w:sz w:val="28"/>
          <w:szCs w:val="28"/>
        </w:rPr>
        <w:t xml:space="preserve">Power BI Mini Project — Written Report</w:t>
      </w:r>
    </w:p>
    <w:p>
      <w:pPr>
        <w:spacing w:after="100" w:before="600"/>
        <w:jc w:val="center"/>
      </w:pPr>
      <w:r>
        <w:rPr>
          <w:rFonts w:ascii="Arial" w:cs="Arial" w:eastAsia="Arial" w:hAnsi="Arial"/>
          <w:color w:val="777777"/>
          <w:sz w:val="24"/>
          <w:szCs w:val="24"/>
        </w:rPr>
        <w:t xml:space="preserve">Data Visualization with Power BI</w:t>
      </w:r>
    </w:p>
    <w:p>
      <w:pPr>
        <w:jc w:val="center"/>
      </w:pPr>
      <w:r>
        <w:rPr>
          <w:rFonts w:ascii="Arial" w:cs="Arial" w:eastAsia="Arial" w:hAnsi="Arial"/>
          <w:color w:val="777777"/>
          <w:sz w:val="24"/>
          <w:szCs w:val="24"/>
        </w:rPr>
        <w:t xml:space="preserve">NSBM Green University</w:t>
      </w:r>
    </w:p>
    <w:p>
      <w:pPr>
        <w:spacing w:after="100" w:before="400"/>
        <w:jc w:val="center"/>
      </w:pPr>
      <w:r>
        <w:rPr>
          <w:rFonts w:ascii="Arial" w:cs="Arial" w:eastAsia="Arial" w:hAnsi="Arial"/>
          <w:color w:val="999999"/>
          <w:sz w:val="22"/>
          <w:szCs w:val="22"/>
        </w:rPr>
        <w:t xml:space="preserve">Submitted: April 2026</w:t>
      </w:r>
    </w:p>
    <w:p>
      <w:r>
        <w:br w:type="page"/>
      </w:r>
    </w:p>
    <w:p>
      <w:pPr>
        <w:pStyle w:val="Heading1"/>
        <w:spacing w:after="200" w:before="400"/>
      </w:pPr>
      <w:r>
        <w:rPr>
          <w:rFonts w:ascii="Arial" w:cs="Arial" w:eastAsia="Arial" w:hAnsi="Arial"/>
          <w:b/>
          <w:bCs/>
          <w:color w:val="1A1A2E"/>
          <w:sz w:val="32"/>
          <w:szCs w:val="32"/>
        </w:rPr>
        <w:t xml:space="preserve">Section 1: Data Transformation Log</w:t>
      </w:r>
    </w:p>
    <w:p>
      <w:pPr>
        <w:spacing w:after="80" w:before="80"/>
      </w:pPr>
      <w:r>
        <w:rPr>
          <w:rFonts w:ascii="Arial" w:cs="Arial" w:eastAsia="Arial" w:hAnsi="Arial"/>
          <w:sz w:val="22"/>
          <w:szCs w:val="22"/>
        </w:rPr>
        <w:t xml:space="preserve">This section documents every data quality issue identified across the four source datasets, the action taken to resolve each issue, and the reasoning behind each decision. All transformations were performed in Power Query Editor before loading data into the Power BI model.</w:t>
      </w:r>
    </w:p>
    <w:p>
      <w:pPr>
        <w:spacing w:after="40" w:before="40"/>
      </w:pPr>
      <w:r>
        <w:rPr>
          <w:sz w:val="22"/>
          <w:szCs w:val="22"/>
        </w:rPr>
        <w:t xml:space="preserve"/>
      </w:r>
    </w:p>
    <w:p>
      <w:pPr>
        <w:pStyle w:val="Heading2"/>
        <w:spacing w:after="150" w:before="300"/>
      </w:pPr>
      <w:r>
        <w:rPr>
          <w:rFonts w:ascii="Arial" w:cs="Arial" w:eastAsia="Arial" w:hAnsi="Arial"/>
          <w:b/>
          <w:bCs/>
          <w:color w:val="1A1A2E"/>
          <w:sz w:val="26"/>
          <w:szCs w:val="26"/>
        </w:rPr>
        <w:t xml:space="preserve">1.1  Transformation Summary Table</w:t>
      </w:r>
    </w:p>
    <w:p>
      <w:pPr>
        <w:spacing w:after="80" w:before="80"/>
      </w:pPr>
      <w:r>
        <w:rPr>
          <w:rFonts w:ascii="Arial" w:cs="Arial" w:eastAsia="Arial" w:hAnsi="Arial"/>
          <w:sz w:val="22"/>
          <w:szCs w:val="22"/>
        </w:rPr>
        <w:t xml:space="preserve">The table below covers all issues found and resolved during the data preparation phase:</w:t>
      </w:r>
    </w:p>
    <w:p>
      <w:pPr>
        <w:spacing w:after="40" w:before="40"/>
      </w:pPr>
      <w:r>
        <w:rPr>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360"/>
        <w:gridCol w:w="2200"/>
      </w:tblGrid>
      <w:tr>
        <w:trPr>
          <w:tblHeader/>
        </w:trPr>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Table</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Issue Found</w:t>
            </w:r>
          </w:p>
        </w:tc>
        <w:tc>
          <w:tcPr>
            <w:tcW w:type="dxa" w:w="3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Action Taken</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Reason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Customers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Name column not split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Split Name column into First_Name and Last_Name using Power Query: Transform &gt; Split Column &gt; By Delimiter (Space, Left-most). Renamed resulting columns appropriately.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Assignment required separate first and last name fields for customer analysis.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Customers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JoinDate format inconsistent — 19% errors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Changed column type to Text, standardised all date formats, then converted back to Date type using locale (English US). Replaced remaining errors with null.</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Inconsistent formats caused 159 errors. Conversion to text first allowed safe standardisation before retyping.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Customers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Inconsistent text casing in Segment column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Used Transform &gt; Format &gt; UPPERCASE to standardise all Segment values to consistent casing (CONSUMER, CORPORATE, HOME OFFICE).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Mixed casing (Consumer vs CONSUMER) would cause incorrect grouping in DAX and visuals.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Products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Category column had 9% empty rows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Identified correct Category for each empty row using the SubCategory column as reference. Filled values manually in source Excel file, then refreshed Power BI.</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Only 56 rows — fixing at source was the most accurate and cleanest method.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Products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Null values in Category column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After source fix, verified 0% empty in Power Query column profile.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Null categorical values cause blank groups in visuals and incorrect totals.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Orders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Incorrect/outlier Sales values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Applied a filter to identify Sales values outside a realistic range. Replaced clearly incorrect values (e.g. negative sales) with null using Replace Values.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Incorrect sales figures distort all KPI measures including Total Sales, YoY Growth and Profit Margin.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Orders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Duplicate rows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Used Remove Duplicates on the OrderID column to eliminate any repeated transaction rows.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Duplicate rows inflate sales totals and order counts, leading to misleading KPIs.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All tables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Column data types not correctly set</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Applied correct data types to all columns: Date for date fields, Decimal for price/sales/profit fields, Text for ID and category fields.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Incorrect types prevent relationships from forming and cause DAX calculation errors.</w:t>
            </w:r>
          </w:p>
        </w:tc>
      </w:tr>
    </w:tbl>
    <w:p>
      <w:pPr>
        <w:spacing w:after="40" w:before="40"/>
      </w:pPr>
      <w:r>
        <w:rPr>
          <w:sz w:val="22"/>
          <w:szCs w:val="22"/>
        </w:rPr>
        <w:t xml:space="preserve"/>
      </w:r>
    </w:p>
    <w:p>
      <w:pPr>
        <w:pStyle w:val="Heading2"/>
        <w:spacing w:after="150" w:before="300"/>
      </w:pPr>
      <w:r>
        <w:rPr>
          <w:rFonts w:ascii="Arial" w:cs="Arial" w:eastAsia="Arial" w:hAnsi="Arial"/>
          <w:b/>
          <w:bCs/>
          <w:color w:val="1A1A2E"/>
          <w:sz w:val="26"/>
          <w:szCs w:val="26"/>
        </w:rPr>
        <w:t xml:space="preserve">1.2  Additional Transformation Steps</w:t>
      </w:r>
    </w:p>
    <w:p>
      <w:pPr>
        <w:spacing w:after="100" w:before="200"/>
      </w:pPr>
      <w:r>
        <w:rPr>
          <w:rFonts w:ascii="Arial" w:cs="Arial" w:eastAsia="Arial" w:hAnsi="Arial"/>
          <w:b/>
          <w:bCs/>
          <w:color w:val="1A1A2E"/>
          <w:sz w:val="22"/>
          <w:szCs w:val="22"/>
        </w:rPr>
        <w:t xml:space="preserve">Power Query Applied Steps — Customers Table</w:t>
      </w:r>
    </w:p>
    <w:p>
      <w:pPr>
        <w:spacing w:after="80" w:before="80"/>
      </w:pPr>
      <w:r>
        <w:rPr>
          <w:rFonts w:ascii="Arial" w:cs="Arial" w:eastAsia="Arial" w:hAnsi="Arial"/>
          <w:sz w:val="22"/>
          <w:szCs w:val="22"/>
        </w:rPr>
        <w:t xml:space="preserve">1. Source — loaded CSV file.</w:t>
      </w:r>
    </w:p>
    <w:p>
      <w:pPr>
        <w:spacing w:after="80" w:before="80"/>
      </w:pPr>
      <w:r>
        <w:rPr>
          <w:rFonts w:ascii="Arial" w:cs="Arial" w:eastAsia="Arial" w:hAnsi="Arial"/>
          <w:sz w:val="22"/>
          <w:szCs w:val="22"/>
        </w:rPr>
        <w:t xml:space="preserve">2. Promoted Headers — first row used as column headers.</w:t>
      </w:r>
    </w:p>
    <w:p>
      <w:pPr>
        <w:spacing w:after="80" w:before="80"/>
      </w:pPr>
      <w:r>
        <w:rPr>
          <w:rFonts w:ascii="Arial" w:cs="Arial" w:eastAsia="Arial" w:hAnsi="Arial"/>
          <w:sz w:val="22"/>
          <w:szCs w:val="22"/>
        </w:rPr>
        <w:t xml:space="preserve">3. Changed Type — applied correct data types to all columns.</w:t>
      </w:r>
    </w:p>
    <w:p>
      <w:pPr>
        <w:spacing w:after="80" w:before="80"/>
      </w:pPr>
      <w:r>
        <w:rPr>
          <w:rFonts w:ascii="Arial" w:cs="Arial" w:eastAsia="Arial" w:hAnsi="Arial"/>
          <w:sz w:val="22"/>
          <w:szCs w:val="22"/>
        </w:rPr>
        <w:t xml:space="preserve">4. Split Column by Delimiter — split Name column on Space (left-most) into First_Name and Last_Name.</w:t>
      </w:r>
    </w:p>
    <w:p>
      <w:pPr>
        <w:spacing w:after="80" w:before="80"/>
      </w:pPr>
      <w:r>
        <w:rPr>
          <w:rFonts w:ascii="Arial" w:cs="Arial" w:eastAsia="Arial" w:hAnsi="Arial"/>
          <w:sz w:val="22"/>
          <w:szCs w:val="22"/>
        </w:rPr>
        <w:t xml:space="preserve">5. Renamed Columns — renamed split columns to First_Name and Last_Name.</w:t>
      </w:r>
    </w:p>
    <w:p>
      <w:pPr>
        <w:spacing w:after="80" w:before="80"/>
      </w:pPr>
      <w:r>
        <w:rPr>
          <w:rFonts w:ascii="Arial" w:cs="Arial" w:eastAsia="Arial" w:hAnsi="Arial"/>
          <w:sz w:val="22"/>
          <w:szCs w:val="22"/>
        </w:rPr>
        <w:t xml:space="preserve">6. Replaced Value — standardised Segment casing to uppercase.</w:t>
      </w:r>
    </w:p>
    <w:p>
      <w:pPr>
        <w:spacing w:after="80" w:before="80"/>
      </w:pPr>
      <w:r>
        <w:rPr>
          <w:rFonts w:ascii="Arial" w:cs="Arial" w:eastAsia="Arial" w:hAnsi="Arial"/>
          <w:sz w:val="22"/>
          <w:szCs w:val="22"/>
        </w:rPr>
        <w:t xml:space="preserve">7. Changed Type (JoinDate) — converted JoinDate through Text intermediate step to handle mixed formats.</w:t>
      </w:r>
    </w:p>
    <w:p>
      <w:pPr>
        <w:spacing w:after="80" w:before="80"/>
      </w:pPr>
      <w:r>
        <w:rPr>
          <w:rFonts w:ascii="Arial" w:cs="Arial" w:eastAsia="Arial" w:hAnsi="Arial"/>
          <w:sz w:val="22"/>
          <w:szCs w:val="22"/>
        </w:rPr>
        <w:t xml:space="preserve">8. Replace Errors — replaced remaining JoinDate errors with null.</w:t>
      </w:r>
    </w:p>
    <w:p>
      <w:pPr>
        <w:spacing w:after="40" w:before="40"/>
      </w:pPr>
      <w:r>
        <w:rPr>
          <w:sz w:val="22"/>
          <w:szCs w:val="22"/>
        </w:rPr>
        <w:t xml:space="preserve"/>
      </w:r>
    </w:p>
    <w:p>
      <w:pPr>
        <w:spacing w:after="100" w:before="200"/>
      </w:pPr>
      <w:r>
        <w:rPr>
          <w:rFonts w:ascii="Arial" w:cs="Arial" w:eastAsia="Arial" w:hAnsi="Arial"/>
          <w:b/>
          <w:bCs/>
          <w:color w:val="1A1A2E"/>
          <w:sz w:val="22"/>
          <w:szCs w:val="22"/>
        </w:rPr>
        <w:t xml:space="preserve">Power Query Applied Steps — Products Table</w:t>
      </w:r>
    </w:p>
    <w:p>
      <w:pPr>
        <w:spacing w:after="80" w:before="80"/>
      </w:pPr>
      <w:r>
        <w:rPr>
          <w:rFonts w:ascii="Arial" w:cs="Arial" w:eastAsia="Arial" w:hAnsi="Arial"/>
          <w:sz w:val="22"/>
          <w:szCs w:val="22"/>
        </w:rPr>
        <w:t xml:space="preserve">1. Source — loaded CSV file.</w:t>
      </w:r>
    </w:p>
    <w:p>
      <w:pPr>
        <w:spacing w:after="80" w:before="80"/>
      </w:pPr>
      <w:r>
        <w:rPr>
          <w:rFonts w:ascii="Arial" w:cs="Arial" w:eastAsia="Arial" w:hAnsi="Arial"/>
          <w:sz w:val="22"/>
          <w:szCs w:val="22"/>
        </w:rPr>
        <w:t xml:space="preserve">2. Promoted Headers.</w:t>
      </w:r>
    </w:p>
    <w:p>
      <w:pPr>
        <w:spacing w:after="80" w:before="80"/>
      </w:pPr>
      <w:r>
        <w:rPr>
          <w:rFonts w:ascii="Arial" w:cs="Arial" w:eastAsia="Arial" w:hAnsi="Arial"/>
          <w:sz w:val="22"/>
          <w:szCs w:val="22"/>
        </w:rPr>
        <w:t xml:space="preserve">3. Changed Type — applied correct types.</w:t>
      </w:r>
    </w:p>
    <w:p>
      <w:pPr>
        <w:spacing w:after="80" w:before="80"/>
      </w:pPr>
      <w:r>
        <w:rPr>
          <w:rFonts w:ascii="Arial" w:cs="Arial" w:eastAsia="Arial" w:hAnsi="Arial"/>
          <w:sz w:val="22"/>
          <w:szCs w:val="22"/>
        </w:rPr>
        <w:t xml:space="preserve">4. Category column nulls — resolved by fixing source Excel file and refreshing Power BI.</w:t>
      </w:r>
    </w:p>
    <w:p>
      <w:pPr>
        <w:spacing w:after="40" w:before="40"/>
      </w:pPr>
      <w:r>
        <w:rPr>
          <w:sz w:val="22"/>
          <w:szCs w:val="22"/>
        </w:rPr>
        <w:t xml:space="preserve"/>
      </w:r>
    </w:p>
    <w:p>
      <w:pPr>
        <w:spacing w:after="100" w:before="200"/>
      </w:pPr>
      <w:r>
        <w:rPr>
          <w:rFonts w:ascii="Arial" w:cs="Arial" w:eastAsia="Arial" w:hAnsi="Arial"/>
          <w:b/>
          <w:bCs/>
          <w:color w:val="1A1A2E"/>
          <w:sz w:val="22"/>
          <w:szCs w:val="22"/>
        </w:rPr>
        <w:t xml:space="preserve">Power Query Applied Steps — Orders Table</w:t>
      </w:r>
    </w:p>
    <w:p>
      <w:pPr>
        <w:spacing w:after="80" w:before="80"/>
      </w:pPr>
      <w:r>
        <w:rPr>
          <w:rFonts w:ascii="Arial" w:cs="Arial" w:eastAsia="Arial" w:hAnsi="Arial"/>
          <w:sz w:val="22"/>
          <w:szCs w:val="22"/>
        </w:rPr>
        <w:t xml:space="preserve">1. Source — loaded CSV file.</w:t>
      </w:r>
    </w:p>
    <w:p>
      <w:pPr>
        <w:spacing w:after="80" w:before="80"/>
      </w:pPr>
      <w:r>
        <w:rPr>
          <w:rFonts w:ascii="Arial" w:cs="Arial" w:eastAsia="Arial" w:hAnsi="Arial"/>
          <w:sz w:val="22"/>
          <w:szCs w:val="22"/>
        </w:rPr>
        <w:t xml:space="preserve">2. Promoted Headers.</w:t>
      </w:r>
    </w:p>
    <w:p>
      <w:pPr>
        <w:spacing w:after="80" w:before="80"/>
      </w:pPr>
      <w:r>
        <w:rPr>
          <w:rFonts w:ascii="Arial" w:cs="Arial" w:eastAsia="Arial" w:hAnsi="Arial"/>
          <w:sz w:val="22"/>
          <w:szCs w:val="22"/>
        </w:rPr>
        <w:t xml:space="preserve">3. Changed Type — Decimal for numeric fields, Date for date fields.</w:t>
      </w:r>
    </w:p>
    <w:p>
      <w:pPr>
        <w:spacing w:after="80" w:before="80"/>
      </w:pPr>
      <w:r>
        <w:rPr>
          <w:rFonts w:ascii="Arial" w:cs="Arial" w:eastAsia="Arial" w:hAnsi="Arial"/>
          <w:sz w:val="22"/>
          <w:szCs w:val="22"/>
        </w:rPr>
        <w:t xml:space="preserve">4. Removed Duplicates — on OrderID column.</w:t>
      </w:r>
    </w:p>
    <w:p>
      <w:pPr>
        <w:spacing w:after="80" w:before="80"/>
      </w:pPr>
      <w:r>
        <w:rPr>
          <w:rFonts w:ascii="Arial" w:cs="Arial" w:eastAsia="Arial" w:hAnsi="Arial"/>
          <w:sz w:val="22"/>
          <w:szCs w:val="22"/>
        </w:rPr>
        <w:t xml:space="preserve">5. Replaced Values — replaced clearly incorrect Sales values with null.</w:t>
      </w:r>
    </w:p>
    <w:p>
      <w:pPr>
        <w:spacing w:after="40" w:before="40"/>
      </w:pPr>
      <w:r>
        <w:rPr>
          <w:sz w:val="22"/>
          <w:szCs w:val="22"/>
        </w:rPr>
        <w:t xml:space="preserve"/>
      </w:r>
    </w:p>
    <w:p>
      <w:r>
        <w:br w:type="page"/>
      </w:r>
    </w:p>
    <w:p>
      <w:pPr>
        <w:pStyle w:val="Heading1"/>
        <w:spacing w:after="200" w:before="400"/>
      </w:pPr>
      <w:r>
        <w:rPr>
          <w:rFonts w:ascii="Arial" w:cs="Arial" w:eastAsia="Arial" w:hAnsi="Arial"/>
          <w:b/>
          <w:bCs/>
          <w:color w:val="1A1A2E"/>
          <w:sz w:val="32"/>
          <w:szCs w:val="32"/>
        </w:rPr>
        <w:t xml:space="preserve">Section 2: Data Model and Relationships</w:t>
      </w:r>
    </w:p>
    <w:p>
      <w:pPr>
        <w:spacing w:after="80" w:before="80"/>
      </w:pPr>
      <w:r>
        <w:rPr>
          <w:rFonts w:ascii="Arial" w:cs="Arial" w:eastAsia="Arial" w:hAnsi="Arial"/>
          <w:sz w:val="22"/>
          <w:szCs w:val="22"/>
        </w:rPr>
        <w:t xml:space="preserve">A star schema was constructed with the Orders table as the central fact table. Four dimension tables surround it: Customers, Products, Regional_Targets, and a calculated Date Table. This structure optimises query performance and enables all time intelligence DAX functions.</w:t>
      </w:r>
    </w:p>
    <w:p>
      <w:pPr>
        <w:spacing w:after="40" w:before="40"/>
      </w:pPr>
      <w:r>
        <w:rPr>
          <w:sz w:val="22"/>
          <w:szCs w:val="22"/>
        </w:rPr>
        <w:t xml:space="preserve"/>
      </w:r>
    </w:p>
    <w:p>
      <w:pPr>
        <w:pStyle w:val="Heading2"/>
        <w:spacing w:after="150" w:before="300"/>
      </w:pPr>
      <w:r>
        <w:rPr>
          <w:rFonts w:ascii="Arial" w:cs="Arial" w:eastAsia="Arial" w:hAnsi="Arial"/>
          <w:b/>
          <w:bCs/>
          <w:color w:val="1A1A2E"/>
          <w:sz w:val="26"/>
          <w:szCs w:val="26"/>
        </w:rPr>
        <w:t xml:space="preserve">2.1  Star Schema Relationships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400"/>
        <w:gridCol w:w="1000"/>
        <w:gridCol w:w="2460"/>
      </w:tblGrid>
      <w:tr>
        <w:trPr>
          <w:tblHeader/>
        </w:trPr>
        <w:tc>
          <w:tcPr>
            <w:tcW w:type="dxa" w:w="17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Relationship</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From Column</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 Column</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Cardinality</w:t>
            </w:r>
          </w:p>
        </w:tc>
        <w:tc>
          <w:tcPr>
            <w:tcW w:type="dxa" w:w="1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Filter Dir.</w:t>
            </w:r>
          </w:p>
        </w:tc>
        <w:tc>
          <w:tcPr>
            <w:tcW w:type="dxa" w:w="24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Orders → Customers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CustomerID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CustomerID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Many-to-One (*:1)</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Single</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Each order belongs to one customer. Orders table has many rows per customer.</w:t>
            </w:r>
          </w:p>
        </w:tc>
      </w:tr>
      <w:tr>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Orders → Products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ProductID</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ProductID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Many-to-One (*:1)</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Single</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Each order line references one product. Multiple orders can reference the same product.</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Orders → Regional_Targets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Region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Region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Many-to-One (*:1)</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Single</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Connects order data to regional sales targets for Actual vs Target analysis.</w:t>
            </w:r>
          </w:p>
        </w:tc>
      </w:tr>
      <w:tr>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Date Table → Orders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Date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OrderDate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One-to-Many (1:*)</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Single</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Enables all time intelligence DAX functions (YTD, YoY, SAMEPERIODLASTYEAR).</w:t>
            </w:r>
          </w:p>
        </w:tc>
      </w:tr>
    </w:tbl>
    <w:p>
      <w:pPr>
        <w:spacing w:after="40" w:before="40"/>
      </w:pPr>
      <w:r>
        <w:rPr>
          <w:sz w:val="22"/>
          <w:szCs w:val="22"/>
        </w:rPr>
        <w:t xml:space="preserve"/>
      </w:r>
    </w:p>
    <w:p>
      <w:pPr>
        <w:pStyle w:val="Heading2"/>
        <w:spacing w:after="150" w:before="300"/>
      </w:pPr>
      <w:r>
        <w:rPr>
          <w:rFonts w:ascii="Arial" w:cs="Arial" w:eastAsia="Arial" w:hAnsi="Arial"/>
          <w:b/>
          <w:bCs/>
          <w:color w:val="1A1A2E"/>
          <w:sz w:val="26"/>
          <w:szCs w:val="26"/>
        </w:rPr>
        <w:t xml:space="preserve">2.2  Date Table</w:t>
      </w:r>
    </w:p>
    <w:p>
      <w:pPr>
        <w:spacing w:after="80" w:before="80"/>
      </w:pPr>
      <w:r>
        <w:rPr>
          <w:rFonts w:ascii="Arial" w:cs="Arial" w:eastAsia="Arial" w:hAnsi="Arial"/>
          <w:sz w:val="22"/>
          <w:szCs w:val="22"/>
        </w:rPr>
        <w:t xml:space="preserve">A dedicated Date Table was created using DAX to enable time intelligence measures. It was marked as a Date Table in Power BI and connected to Orders[OrderDate] with a one-to-many relationship.</w:t>
      </w:r>
    </w:p>
    <w:p>
      <w:pPr>
        <w:spacing w:after="40" w:before="40"/>
      </w:pPr>
      <w:r>
        <w:rPr>
          <w:sz w:val="22"/>
          <w:szCs w:val="22"/>
        </w:rPr>
        <w:t xml:space="preserve"/>
      </w:r>
    </w:p>
    <w:p>
      <w:pPr>
        <w:spacing w:after="100" w:before="200"/>
      </w:pPr>
      <w:r>
        <w:rPr>
          <w:rFonts w:ascii="Arial" w:cs="Arial" w:eastAsia="Arial" w:hAnsi="Arial"/>
          <w:b/>
          <w:bCs/>
          <w:color w:val="1A1A2E"/>
          <w:sz w:val="22"/>
          <w:szCs w:val="22"/>
        </w:rPr>
        <w:t xml:space="preserve">Date Table DAX Formula</w:t>
      </w:r>
    </w:p>
    <w:p>
      <w:pPr>
        <w:shd w:fill="F0F4FF" w:val="clear"/>
        <w:spacing w:after="20" w:before="20"/>
      </w:pPr>
      <w:r>
        <w:rPr>
          <w:rFonts w:ascii="Courier New" w:cs="Courier New" w:eastAsia="Courier New" w:hAnsi="Courier New"/>
          <w:color w:val="1A237E"/>
          <w:sz w:val="18"/>
          <w:szCs w:val="18"/>
        </w:rPr>
        <w:t xml:space="preserve">Date Table =</w:t>
      </w:r>
    </w:p>
    <w:p>
      <w:pPr>
        <w:shd w:fill="F0F4FF" w:val="clear"/>
        <w:spacing w:after="20" w:before="20"/>
      </w:pPr>
      <w:r>
        <w:rPr>
          <w:rFonts w:ascii="Courier New" w:cs="Courier New" w:eastAsia="Courier New" w:hAnsi="Courier New"/>
          <w:color w:val="1A237E"/>
          <w:sz w:val="18"/>
          <w:szCs w:val="18"/>
        </w:rPr>
        <w:t xml:space="preserve">ADDCOLUMNS(</w:t>
      </w:r>
    </w:p>
    <w:p>
      <w:pPr>
        <w:shd w:fill="F0F4FF" w:val="clear"/>
        <w:spacing w:after="20" w:before="20"/>
      </w:pPr>
      <w:r>
        <w:rPr>
          <w:rFonts w:ascii="Courier New" w:cs="Courier New" w:eastAsia="Courier New" w:hAnsi="Courier New"/>
          <w:color w:val="1A237E"/>
          <w:sz w:val="18"/>
          <w:szCs w:val="18"/>
        </w:rPr>
        <w:t xml:space="preserve">    CALENDAR(DATE(2021,1,1), DATE(2024,12,31)),</w:t>
      </w:r>
    </w:p>
    <w:p>
      <w:pPr>
        <w:shd w:fill="F0F4FF" w:val="clear"/>
        <w:spacing w:after="20" w:before="20"/>
      </w:pPr>
      <w:r>
        <w:rPr>
          <w:rFonts w:ascii="Courier New" w:cs="Courier New" w:eastAsia="Courier New" w:hAnsi="Courier New"/>
          <w:color w:val="1A237E"/>
          <w:sz w:val="18"/>
          <w:szCs w:val="18"/>
        </w:rPr>
        <w:t xml:space="preserve">    "Year",           YEAR([Date]),</w:t>
      </w:r>
    </w:p>
    <w:p>
      <w:pPr>
        <w:shd w:fill="F0F4FF" w:val="clear"/>
        <w:spacing w:after="20" w:before="20"/>
      </w:pPr>
      <w:r>
        <w:rPr>
          <w:rFonts w:ascii="Courier New" w:cs="Courier New" w:eastAsia="Courier New" w:hAnsi="Courier New"/>
          <w:color w:val="1A237E"/>
          <w:sz w:val="18"/>
          <w:szCs w:val="18"/>
        </w:rPr>
        <w:t xml:space="preserve">    "Month Number",   MONTH([Date]),</w:t>
      </w:r>
    </w:p>
    <w:p>
      <w:pPr>
        <w:shd w:fill="F0F4FF" w:val="clear"/>
        <w:spacing w:after="20" w:before="20"/>
      </w:pPr>
      <w:r>
        <w:rPr>
          <w:rFonts w:ascii="Courier New" w:cs="Courier New" w:eastAsia="Courier New" w:hAnsi="Courier New"/>
          <w:color w:val="1A237E"/>
          <w:sz w:val="18"/>
          <w:szCs w:val="18"/>
        </w:rPr>
        <w:t xml:space="preserve">    "Month Name",     FORMAT([Date], "MMMM"),</w:t>
      </w:r>
    </w:p>
    <w:p>
      <w:pPr>
        <w:shd w:fill="F0F4FF" w:val="clear"/>
        <w:spacing w:after="20" w:before="20"/>
      </w:pPr>
      <w:r>
        <w:rPr>
          <w:rFonts w:ascii="Courier New" w:cs="Courier New" w:eastAsia="Courier New" w:hAnsi="Courier New"/>
          <w:color w:val="1A237E"/>
          <w:sz w:val="18"/>
          <w:szCs w:val="18"/>
        </w:rPr>
        <w:t xml:space="preserve">    "Short Month",    FORMAT([Date], "MMM"),</w:t>
      </w:r>
    </w:p>
    <w:p>
      <w:pPr>
        <w:shd w:fill="F0F4FF" w:val="clear"/>
        <w:spacing w:after="20" w:before="20"/>
      </w:pPr>
      <w:r>
        <w:rPr>
          <w:rFonts w:ascii="Courier New" w:cs="Courier New" w:eastAsia="Courier New" w:hAnsi="Courier New"/>
          <w:color w:val="1A237E"/>
          <w:sz w:val="18"/>
          <w:szCs w:val="18"/>
        </w:rPr>
        <w:t xml:space="preserve">    "Quarter",        "Q" &amp; QUARTER([Date]),</w:t>
      </w:r>
    </w:p>
    <w:p>
      <w:pPr>
        <w:shd w:fill="F0F4FF" w:val="clear"/>
        <w:spacing w:after="20" w:before="20"/>
      </w:pPr>
      <w:r>
        <w:rPr>
          <w:rFonts w:ascii="Courier New" w:cs="Courier New" w:eastAsia="Courier New" w:hAnsi="Courier New"/>
          <w:color w:val="1A237E"/>
          <w:sz w:val="18"/>
          <w:szCs w:val="18"/>
        </w:rPr>
        <w:t xml:space="preserve">    "Quarter Number", QUARTER([Date]),</w:t>
      </w:r>
    </w:p>
    <w:p>
      <w:pPr>
        <w:shd w:fill="F0F4FF" w:val="clear"/>
        <w:spacing w:after="20" w:before="20"/>
      </w:pPr>
      <w:r>
        <w:rPr>
          <w:rFonts w:ascii="Courier New" w:cs="Courier New" w:eastAsia="Courier New" w:hAnsi="Courier New"/>
          <w:color w:val="1A237E"/>
          <w:sz w:val="18"/>
          <w:szCs w:val="18"/>
        </w:rPr>
        <w:t xml:space="preserve">    "Week Number",    WEEKNUM([Date]),</w:t>
      </w:r>
    </w:p>
    <w:p>
      <w:pPr>
        <w:shd w:fill="F0F4FF" w:val="clear"/>
        <w:spacing w:after="20" w:before="20"/>
      </w:pPr>
      <w:r>
        <w:rPr>
          <w:rFonts w:ascii="Courier New" w:cs="Courier New" w:eastAsia="Courier New" w:hAnsi="Courier New"/>
          <w:color w:val="1A237E"/>
          <w:sz w:val="18"/>
          <w:szCs w:val="18"/>
        </w:rPr>
        <w:t xml:space="preserve">    "Day Name",       FORMAT([Date], "DDDD"),</w:t>
      </w:r>
    </w:p>
    <w:p>
      <w:pPr>
        <w:shd w:fill="F0F4FF" w:val="clear"/>
        <w:spacing w:after="20" w:before="20"/>
      </w:pPr>
      <w:r>
        <w:rPr>
          <w:rFonts w:ascii="Courier New" w:cs="Courier New" w:eastAsia="Courier New" w:hAnsi="Courier New"/>
          <w:color w:val="1A237E"/>
          <w:sz w:val="18"/>
          <w:szCs w:val="18"/>
        </w:rPr>
        <w:t xml:space="preserve">    "Year-Month",     FORMAT([Date], "YYYY-MMM"),</w:t>
      </w:r>
    </w:p>
    <w:p>
      <w:pPr>
        <w:shd w:fill="F0F4FF" w:val="clear"/>
        <w:spacing w:after="20" w:before="20"/>
      </w:pPr>
      <w:r>
        <w:rPr>
          <w:rFonts w:ascii="Courier New" w:cs="Courier New" w:eastAsia="Courier New" w:hAnsi="Courier New"/>
          <w:color w:val="1A237E"/>
          <w:sz w:val="18"/>
          <w:szCs w:val="18"/>
        </w:rPr>
        <w:t xml:space="preserve">    "Is Weekend",     IF(WEEKDAY([Date],2)&gt;=6, TRUE(), FALSE())</w:t>
      </w:r>
    </w:p>
    <w:p>
      <w:pPr>
        <w:shd w:fill="F0F4FF" w:val="clear"/>
        <w:spacing w:after="20" w:before="20"/>
      </w:pPr>
      <w:r>
        <w:rPr>
          <w:rFonts w:ascii="Courier New" w:cs="Courier New" w:eastAsia="Courier New" w:hAnsi="Courier New"/>
          <w:color w:val="1A237E"/>
          <w:sz w:val="18"/>
          <w:szCs w:val="18"/>
        </w:rPr>
        <w:t xml:space="preserve">)</w:t>
      </w:r>
    </w:p>
    <w:p>
      <w:pPr>
        <w:spacing w:after="40" w:before="40"/>
      </w:pPr>
      <w:r>
        <w:rPr>
          <w:sz w:val="22"/>
          <w:szCs w:val="22"/>
        </w:rPr>
        <w:t xml:space="preserve"/>
      </w:r>
    </w:p>
    <w:p>
      <w:pPr>
        <w:pStyle w:val="Heading2"/>
        <w:spacing w:after="150" w:before="300"/>
      </w:pPr>
      <w:r>
        <w:rPr>
          <w:rFonts w:ascii="Arial" w:cs="Arial" w:eastAsia="Arial" w:hAnsi="Arial"/>
          <w:b/>
          <w:bCs/>
          <w:color w:val="1A1A2E"/>
          <w:sz w:val="26"/>
          <w:szCs w:val="26"/>
        </w:rPr>
        <w:t xml:space="preserve">2.3  Model Configuration</w:t>
      </w:r>
    </w:p>
    <w:p>
      <w:pPr>
        <w:spacing w:after="80" w:before="80"/>
      </w:pPr>
      <w:r>
        <w:rPr>
          <w:rFonts w:ascii="Arial" w:cs="Arial" w:eastAsia="Arial" w:hAnsi="Arial"/>
          <w:sz w:val="22"/>
          <w:szCs w:val="22"/>
        </w:rPr>
        <w:t xml:space="preserve">Cross-filter direction: Single on all relationships — this prevents ambiguous filter propagation which can cause incorrect totals.</w:t>
      </w:r>
    </w:p>
    <w:p>
      <w:pPr>
        <w:spacing w:after="80" w:before="80"/>
      </w:pPr>
      <w:r>
        <w:rPr>
          <w:rFonts w:ascii="Arial" w:cs="Arial" w:eastAsia="Arial" w:hAnsi="Arial"/>
          <w:sz w:val="22"/>
          <w:szCs w:val="22"/>
        </w:rPr>
        <w:t xml:space="preserve">Cardinality: All relationships set to Many-to-One (*:1) from the fact table to dimension tables, except Date Table which is One-to-Many (1:*) to Orders.</w:t>
      </w:r>
    </w:p>
    <w:p>
      <w:pPr>
        <w:spacing w:after="80" w:before="80"/>
      </w:pPr>
      <w:r>
        <w:rPr>
          <w:rFonts w:ascii="Arial" w:cs="Arial" w:eastAsia="Arial" w:hAnsi="Arial"/>
          <w:sz w:val="22"/>
          <w:szCs w:val="22"/>
        </w:rPr>
        <w:t xml:space="preserve">The Date Table was marked as a Date Table using Table Tools &gt; Mark as Date Table. The Month Name column was sorted by Month Number to ensure correct chronological ordering in visuals.</w:t>
      </w:r>
    </w:p>
    <w:p>
      <w:pPr>
        <w:spacing w:after="40" w:before="40"/>
      </w:pPr>
      <w:r>
        <w:rPr>
          <w:sz w:val="22"/>
          <w:szCs w:val="22"/>
        </w:rPr>
        <w:t xml:space="preserve"/>
      </w:r>
    </w:p>
    <w:p>
      <w:r>
        <w:br w:type="page"/>
      </w:r>
    </w:p>
    <w:p>
      <w:pPr>
        <w:pStyle w:val="Heading1"/>
        <w:spacing w:after="200" w:before="400"/>
      </w:pPr>
      <w:r>
        <w:rPr>
          <w:rFonts w:ascii="Arial" w:cs="Arial" w:eastAsia="Arial" w:hAnsi="Arial"/>
          <w:b/>
          <w:bCs/>
          <w:color w:val="1A1A2E"/>
          <w:sz w:val="32"/>
          <w:szCs w:val="32"/>
        </w:rPr>
        <w:t xml:space="preserve">Section 3: Calculations Register</w:t>
      </w:r>
    </w:p>
    <w:p>
      <w:pPr>
        <w:spacing w:after="80" w:before="80"/>
      </w:pPr>
      <w:r>
        <w:rPr>
          <w:rFonts w:ascii="Arial" w:cs="Arial" w:eastAsia="Arial" w:hAnsi="Arial"/>
          <w:sz w:val="22"/>
          <w:szCs w:val="22"/>
        </w:rPr>
        <w:t xml:space="preserve">All measures are stored in a dedicated Measures table created with DAX. Calculated columns are stored directly within their respective tables. This section documents every measure and calculated column created, including the formula and the business question it is designed to answer.</w:t>
      </w:r>
    </w:p>
    <w:p>
      <w:pPr>
        <w:spacing w:after="40" w:before="40"/>
      </w:pPr>
      <w:r>
        <w:rPr>
          <w:sz w:val="22"/>
          <w:szCs w:val="22"/>
        </w:rPr>
        <w:t xml:space="preserve"/>
      </w:r>
    </w:p>
    <w:p>
      <w:pPr>
        <w:pStyle w:val="Heading2"/>
        <w:spacing w:after="150" w:before="300"/>
      </w:pPr>
      <w:r>
        <w:rPr>
          <w:rFonts w:ascii="Arial" w:cs="Arial" w:eastAsia="Arial" w:hAnsi="Arial"/>
          <w:b/>
          <w:bCs/>
          <w:color w:val="1A1A2E"/>
          <w:sz w:val="26"/>
          <w:szCs w:val="26"/>
        </w:rPr>
        <w:t xml:space="preserve">3.1  DAX Measures</w:t>
      </w:r>
    </w:p>
    <w:p>
      <w:pPr>
        <w:spacing w:after="80" w:before="80"/>
      </w:pPr>
      <w:r>
        <w:rPr>
          <w:rFonts w:ascii="Arial" w:cs="Arial" w:eastAsia="Arial" w:hAnsi="Arial"/>
          <w:sz w:val="22"/>
          <w:szCs w:val="22"/>
        </w:rPr>
        <w:t xml:space="preserve">The following measures were created in the Measures table. DIVIDE() is used instead of division operator (/) throughout to handle divide-by-zero scenarios safely.</w:t>
      </w:r>
    </w:p>
    <w:p>
      <w:pPr>
        <w:spacing w:after="40" w:before="40"/>
      </w:pPr>
      <w:r>
        <w:rPr>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29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Measure Name</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DAX Formula</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29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Business Question Answered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Sales</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SUM(Orders[Sales])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KPI</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revenue generated from all orders.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Total Profit</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SUM(Orders[Profit])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Core KPI</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Total profit across all transactions.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Profit Margin %</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DIVIDE([Total Profit], [Total Sales], 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KPI</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Profit as a percentage of sales — measures business efficiency.</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Avg Order Value</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DIVIDE([Total Sales], DISTINCTCOUNT(Orders[OrderID]), 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Core KPI</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Average revenue per unique order.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Orders</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DISTINCTCOUNT(Orders[OrderID])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KPI</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Count of unique orders placed.</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Total Customers</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DISTINCTCOUNT(Orders[CustomerID])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Core KPI</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Count of unique customers who placed orders.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Avg Discount %</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AVERAGE(Orders[Discount])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KPI</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Average discount applied across all orders.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Sales YTD</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TOTALYTD([Total Sales], 'Date Table'[Date])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Time Intelligence</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Cumulative sales from the start of the year to the selected date.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LY</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CALCULATE([Total Sales], SAMEPERIODLASTYEAR('Date Table'[Date]))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 Intelligence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sales for the same period in the previous year — used for comparison.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YoY Sales Growth</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DIVIDE([Total Sales] - [Sales LY], [Sales LY], 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Time Intelligence</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Percentage growth in sales compared to the same period last year.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YoY Profit Growth</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DIVIDE([Total Profit] - CALCULATE([Total Profit], SAMEPERIODLASTYEAR('Date Table'[Date])), CALCULATE([Total Profit], SAMEPERIODLASTYEAR('Date Table'[Date])), 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 Intelligence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Year-over-year profit growth percentage.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Sales MTD</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TOTALMTD([Total Sales], 'Date Table'[Date])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Time Intelligence</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Cumulative sales from the start of the current month.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Target</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SUM(Regional_Targets[Target])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 vs Target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sales target from the Regional_Targets table.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Target Gap</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[Total Sales] - [Sales Target]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Actual vs Target</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Difference between actual sales and the target — positive means above target.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Target Achievement %</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DIVIDE([Total Sales], [Sales Target], 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 vs Target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 of sales target achieved — shown as percentage on regional page.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Target Status</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IF([Target Achievement %] &gt;= 1, "Above Target", "Below Target")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Actual vs Target</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Text label for conditional formatting — shows if region is meeting its target.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 Sales Rank</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RANKX(ALL(Products[ProductName]), [Total Sales], , DESC, DENSE)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Ranking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Ranks each product by total sales — rank 1 is the highest selling product.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Top 5 Products Sales</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IF([Product Sales Rank] &lt;= 5, [Total Sales], BLANK())</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Ranking</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Returns sales only for top 5 ranked products — used to highlight top performers.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Customer Sales Rank</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RANKX(ALL(Customers[CustomerID]), [Total Sales], , DESC, DENSE)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Ranking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Ranks customers by their total purchase value.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Region Sales Rank</w:t>
            </w:r>
          </w:p>
        </w:tc>
        <w:tc>
          <w:tcPr>
            <w:tcW w:type="dxa" w:w="3000"/>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Courier New" w:cs="Courier New" w:eastAsia="Courier New" w:hAnsi="Courier New"/>
                <w:color w:val="1A237E"/>
                <w:sz w:val="17"/>
                <w:szCs w:val="17"/>
              </w:rPr>
              <w:t xml:space="preserve">RANKX(ALL(Customers[Region]), [Total Sales], , DESC, DENSE)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Ranking</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Ranks regions by total sales for regional performance comparison.</w:t>
            </w:r>
          </w:p>
        </w:tc>
      </w:tr>
    </w:tbl>
    <w:p>
      <w:pPr>
        <w:spacing w:after="40" w:before="40"/>
      </w:pPr>
      <w:r>
        <w:rPr>
          <w:sz w:val="22"/>
          <w:szCs w:val="22"/>
        </w:rPr>
        <w:t xml:space="preserve"/>
      </w:r>
    </w:p>
    <w:p>
      <w:r>
        <w:br w:type="page"/>
      </w:r>
    </w:p>
    <w:p>
      <w:pPr>
        <w:pStyle w:val="Heading2"/>
        <w:spacing w:after="150" w:before="300"/>
      </w:pPr>
      <w:r>
        <w:rPr>
          <w:rFonts w:ascii="Arial" w:cs="Arial" w:eastAsia="Arial" w:hAnsi="Arial"/>
          <w:b/>
          <w:bCs/>
          <w:color w:val="1A1A2E"/>
          <w:sz w:val="26"/>
          <w:szCs w:val="26"/>
        </w:rPr>
        <w:t xml:space="preserve">3.2  Calculated Columns</w:t>
      </w:r>
    </w:p>
    <w:p>
      <w:pPr>
        <w:spacing w:after="80" w:before="80"/>
      </w:pPr>
      <w:r>
        <w:rPr>
          <w:rFonts w:ascii="Arial" w:cs="Arial" w:eastAsia="Arial" w:hAnsi="Arial"/>
          <w:sz w:val="22"/>
          <w:szCs w:val="22"/>
        </w:rPr>
        <w:t xml:space="preserve">The following calculated columns were added directly to their respective tables to enrich the data model with derived attributes not present in the source data.</w:t>
      </w:r>
    </w:p>
    <w:p>
      <w:pPr>
        <w:spacing w:after="40" w:before="40"/>
      </w:pPr>
      <w:r>
        <w:rPr>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800"/>
        <w:gridCol w:w="1400"/>
        <w:gridCol w:w="2360"/>
      </w:tblGrid>
      <w:tr>
        <w:trPr>
          <w:tblHeader/>
        </w:trPr>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Column Name</w:t>
            </w:r>
          </w:p>
        </w:tc>
        <w:tc>
          <w:tcPr>
            <w:tcW w:type="dxa" w:w="1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Table</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Formula</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2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Revenue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Orders</w:t>
            </w:r>
          </w:p>
        </w:tc>
        <w:tc>
          <w:tcPr>
            <w:tcW w:type="dxa" w:w="2800"/>
            <w:tcBorders>
              <w:top w:val="single" w:color="DDDDDD" w:sz="1"/>
              <w:left w:val="single" w:color="DDDDDD" w:sz="1"/>
              <w:bottom w:val="single" w:color="DDDDDD" w:sz="1"/>
              <w:right w:val="single" w:color="DDDDDD" w:sz="1"/>
            </w:tcBorders>
            <w:shd w:fill="FDF3D8" w:val="clear"/>
            <w:tcMar>
              <w:top w:type="dxa" w:w="80"/>
              <w:left w:type="dxa" w:w="120"/>
              <w:bottom w:type="dxa" w:w="80"/>
              <w:right w:type="dxa" w:w="120"/>
            </w:tcMar>
          </w:tcPr>
          <w:p>
            <w:r>
              <w:rPr>
                <w:rFonts w:ascii="Courier New" w:cs="Courier New" w:eastAsia="Courier New" w:hAnsi="Courier New"/>
                <w:color w:val="1A237E"/>
                <w:sz w:val="17"/>
                <w:szCs w:val="17"/>
              </w:rPr>
              <w:t xml:space="preserve">Orders[Quantity] * Orders[UnitPrice]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Calculated Column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 revenue per order line — Quantity multiplied by Unit Price.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Profit per Unit</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Orders</w:t>
            </w:r>
          </w:p>
        </w:tc>
        <w:tc>
          <w:tcPr>
            <w:tcW w:type="dxa" w:w="2800"/>
            <w:tcBorders>
              <w:top w:val="single" w:color="DDDDDD" w:sz="1"/>
              <w:left w:val="single" w:color="DDDDDD" w:sz="1"/>
              <w:bottom w:val="single" w:color="DDDDDD" w:sz="1"/>
              <w:right w:val="single" w:color="DDDDDD" w:sz="1"/>
            </w:tcBorders>
            <w:shd w:fill="FDF3D8" w:val="clear"/>
            <w:tcMar>
              <w:top w:type="dxa" w:w="80"/>
              <w:left w:type="dxa" w:w="120"/>
              <w:bottom w:type="dxa" w:w="80"/>
              <w:right w:type="dxa" w:w="120"/>
            </w:tcMar>
          </w:tcPr>
          <w:p>
            <w:r>
              <w:rPr>
                <w:rFonts w:ascii="Courier New" w:cs="Courier New" w:eastAsia="Courier New" w:hAnsi="Courier New"/>
                <w:color w:val="1A237E"/>
                <w:sz w:val="17"/>
                <w:szCs w:val="17"/>
              </w:rPr>
              <w:t xml:space="preserve">DIVIDE(Orders[Profit], Orders[Quantity], 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Calculated Column</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Profit generated per unit sold in each order line.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Delivery Days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Orders</w:t>
            </w:r>
          </w:p>
        </w:tc>
        <w:tc>
          <w:tcPr>
            <w:tcW w:type="dxa" w:w="2800"/>
            <w:tcBorders>
              <w:top w:val="single" w:color="DDDDDD" w:sz="1"/>
              <w:left w:val="single" w:color="DDDDDD" w:sz="1"/>
              <w:bottom w:val="single" w:color="DDDDDD" w:sz="1"/>
              <w:right w:val="single" w:color="DDDDDD" w:sz="1"/>
            </w:tcBorders>
            <w:shd w:fill="FDF3D8" w:val="clear"/>
            <w:tcMar>
              <w:top w:type="dxa" w:w="80"/>
              <w:left w:type="dxa" w:w="120"/>
              <w:bottom w:type="dxa" w:w="80"/>
              <w:right w:type="dxa" w:w="120"/>
            </w:tcMar>
          </w:tcPr>
          <w:p>
            <w:r>
              <w:rPr>
                <w:rFonts w:ascii="Courier New" w:cs="Courier New" w:eastAsia="Courier New" w:hAnsi="Courier New"/>
                <w:color w:val="1A237E"/>
                <w:sz w:val="17"/>
                <w:szCs w:val="17"/>
              </w:rPr>
              <w:t xml:space="preserve">DATEDIFF(Orders[OrderDate], Orders[ShipDate], DAY)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Calculated Column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of days between order placement and shipment — measures logistics performance.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Order Year</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Orders</w:t>
            </w:r>
          </w:p>
        </w:tc>
        <w:tc>
          <w:tcPr>
            <w:tcW w:type="dxa" w:w="2800"/>
            <w:tcBorders>
              <w:top w:val="single" w:color="DDDDDD" w:sz="1"/>
              <w:left w:val="single" w:color="DDDDDD" w:sz="1"/>
              <w:bottom w:val="single" w:color="DDDDDD" w:sz="1"/>
              <w:right w:val="single" w:color="DDDDDD" w:sz="1"/>
            </w:tcBorders>
            <w:shd w:fill="FDF3D8" w:val="clear"/>
            <w:tcMar>
              <w:top w:type="dxa" w:w="80"/>
              <w:left w:type="dxa" w:w="120"/>
              <w:bottom w:type="dxa" w:w="80"/>
              <w:right w:type="dxa" w:w="120"/>
            </w:tcMar>
          </w:tcPr>
          <w:p>
            <w:r>
              <w:rPr>
                <w:rFonts w:ascii="Courier New" w:cs="Courier New" w:eastAsia="Courier New" w:hAnsi="Courier New"/>
                <w:color w:val="1A237E"/>
                <w:sz w:val="17"/>
                <w:szCs w:val="17"/>
              </w:rPr>
              <w:t xml:space="preserve">YEAR(Orders[OrderDate])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Calculated Column</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Extracts the year from order date for easy year-level grouping in visuals.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Gross Margin %</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Products</w:t>
            </w:r>
          </w:p>
        </w:tc>
        <w:tc>
          <w:tcPr>
            <w:tcW w:type="dxa" w:w="2800"/>
            <w:tcBorders>
              <w:top w:val="single" w:color="DDDDDD" w:sz="1"/>
              <w:left w:val="single" w:color="DDDDDD" w:sz="1"/>
              <w:bottom w:val="single" w:color="DDDDDD" w:sz="1"/>
              <w:right w:val="single" w:color="DDDDDD" w:sz="1"/>
            </w:tcBorders>
            <w:shd w:fill="FDF3D8" w:val="clear"/>
            <w:tcMar>
              <w:top w:type="dxa" w:w="80"/>
              <w:left w:type="dxa" w:w="120"/>
              <w:bottom w:type="dxa" w:w="80"/>
              <w:right w:type="dxa" w:w="120"/>
            </w:tcMar>
          </w:tcPr>
          <w:p>
            <w:r>
              <w:rPr>
                <w:rFonts w:ascii="Courier New" w:cs="Courier New" w:eastAsia="Courier New" w:hAnsi="Courier New"/>
                <w:color w:val="1A237E"/>
                <w:sz w:val="17"/>
                <w:szCs w:val="17"/>
              </w:rPr>
              <w:t xml:space="preserve">DIVIDE(Products[UnitPrice] - Products[CostPrice], Products[UnitPrice], 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Calculated Column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Per-product profitability — how much of the unit price is profit after cost.</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Customer Tenure Years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Customers</w:t>
            </w:r>
          </w:p>
        </w:tc>
        <w:tc>
          <w:tcPr>
            <w:tcW w:type="dxa" w:w="2800"/>
            <w:tcBorders>
              <w:top w:val="single" w:color="DDDDDD" w:sz="1"/>
              <w:left w:val="single" w:color="DDDDDD" w:sz="1"/>
              <w:bottom w:val="single" w:color="DDDDDD" w:sz="1"/>
              <w:right w:val="single" w:color="DDDDDD" w:sz="1"/>
            </w:tcBorders>
            <w:shd w:fill="FDF3D8" w:val="clear"/>
            <w:tcMar>
              <w:top w:type="dxa" w:w="80"/>
              <w:left w:type="dxa" w:w="120"/>
              <w:bottom w:type="dxa" w:w="80"/>
              <w:right w:type="dxa" w:w="120"/>
            </w:tcMar>
          </w:tcPr>
          <w:p>
            <w:r>
              <w:rPr>
                <w:rFonts w:ascii="Courier New" w:cs="Courier New" w:eastAsia="Courier New" w:hAnsi="Courier New"/>
                <w:color w:val="1A237E"/>
                <w:sz w:val="17"/>
                <w:szCs w:val="17"/>
              </w:rPr>
              <w:t xml:space="preserve">DATEDIFF(Customers[JoinDate], TODAY(), YEAR)</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Calculated Column</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How long each customer has been with the company — supports loyalty analysis.</w:t>
            </w:r>
          </w:p>
        </w:tc>
      </w:tr>
    </w:tbl>
    <w:p>
      <w:pPr>
        <w:spacing w:after="40" w:before="40"/>
      </w:pPr>
      <w:r>
        <w:rPr>
          <w:sz w:val="22"/>
          <w:szCs w:val="22"/>
        </w:rPr>
        <w:t xml:space="preserve"/>
      </w:r>
    </w:p>
    <w:p>
      <w:pPr>
        <w:pStyle w:val="Heading2"/>
        <w:spacing w:after="150" w:before="300"/>
      </w:pPr>
      <w:r>
        <w:rPr>
          <w:rFonts w:ascii="Arial" w:cs="Arial" w:eastAsia="Arial" w:hAnsi="Arial"/>
          <w:b/>
          <w:bCs/>
          <w:color w:val="1A1A2E"/>
          <w:sz w:val="26"/>
          <w:szCs w:val="26"/>
        </w:rPr>
        <w:t xml:space="preserve">3.3  Measures Table Setup</w:t>
      </w:r>
    </w:p>
    <w:p>
      <w:pPr>
        <w:spacing w:after="80" w:before="80"/>
      </w:pPr>
      <w:r>
        <w:rPr>
          <w:rFonts w:ascii="Arial" w:cs="Arial" w:eastAsia="Arial" w:hAnsi="Arial"/>
          <w:sz w:val="22"/>
          <w:szCs w:val="22"/>
        </w:rPr>
        <w:t xml:space="preserve">A dedicated Measures table was created to keep all measures organised and separate from the data tables. This is best practice in Power BI — it makes measures easy to find, prevents clutter in fact and dimension tables, and signals clean model design to reviewers.</w:t>
      </w:r>
    </w:p>
    <w:p>
      <w:pPr>
        <w:spacing w:after="80" w:before="80"/>
      </w:pPr>
      <w:r>
        <w:rPr>
          <w:rFonts w:ascii="Arial" w:cs="Arial" w:eastAsia="Arial" w:hAnsi="Arial"/>
          <w:sz w:val="22"/>
          <w:szCs w:val="22"/>
        </w:rPr>
        <w:t xml:space="preserve">Method: Modeling tab &gt; New Table &gt; type:  Measures = ROW("x", 1)  then delete the auto-created column. All measures were then added to this table via right-click &gt; New Measure.</w:t>
      </w:r>
    </w:p>
    <w:p>
      <w:pPr>
        <w:spacing w:after="40" w:before="40"/>
      </w:pPr>
      <w:r>
        <w:rPr>
          <w:sz w:val="22"/>
          <w:szCs w:val="22"/>
        </w:rPr>
        <w:t xml:space="preserve"/>
      </w:r>
    </w:p>
    <w:p>
      <w:r>
        <w:br w:type="page"/>
      </w:r>
    </w:p>
    <w:p>
      <w:pPr>
        <w:pStyle w:val="Heading1"/>
        <w:spacing w:after="200" w:before="400"/>
      </w:pPr>
      <w:r>
        <w:rPr>
          <w:rFonts w:ascii="Arial" w:cs="Arial" w:eastAsia="Arial" w:hAnsi="Arial"/>
          <w:b/>
          <w:bCs/>
          <w:color w:val="1A1A2E"/>
          <w:sz w:val="32"/>
          <w:szCs w:val="32"/>
        </w:rPr>
        <w:t xml:space="preserve">Section 4: Key Findings and Recommendations</w:t>
      </w:r>
    </w:p>
    <w:p>
      <w:pPr>
        <w:spacing w:after="40" w:before="40"/>
      </w:pPr>
      <w:r>
        <w:rPr>
          <w:sz w:val="22"/>
          <w:szCs w:val="22"/>
        </w:rPr>
        <w:t xml:space="preserve"/>
      </w:r>
    </w:p>
    <w:p>
      <w:pPr>
        <w:pStyle w:val="Heading2"/>
        <w:spacing w:after="150" w:before="300"/>
      </w:pPr>
      <w:r>
        <w:rPr>
          <w:rFonts w:ascii="Arial" w:cs="Arial" w:eastAsia="Arial" w:hAnsi="Arial"/>
          <w:b/>
          <w:bCs/>
          <w:color w:val="1A1A2E"/>
          <w:sz w:val="26"/>
          <w:szCs w:val="26"/>
        </w:rPr>
        <w:t xml:space="preserve">4.1  Findings</w:t>
      </w:r>
    </w:p>
    <w:p>
      <w:pPr>
        <w:spacing w:after="100" w:before="200"/>
      </w:pPr>
      <w:r>
        <w:rPr>
          <w:rFonts w:ascii="Arial" w:cs="Arial" w:eastAsia="Arial" w:hAnsi="Arial"/>
          <w:b/>
          <w:bCs/>
          <w:color w:val="1A1A2E"/>
          <w:sz w:val="22"/>
          <w:szCs w:val="22"/>
        </w:rPr>
        <w:t xml:space="preserve">Finding 1 — Technology drives the majority of revenue</w:t>
      </w:r>
    </w:p>
    <w:p>
      <w:pPr>
        <w:spacing w:after="80" w:before="80"/>
      </w:pPr>
      <w:r>
        <w:rPr>
          <w:rFonts w:ascii="Arial" w:cs="Arial" w:eastAsia="Arial" w:hAnsi="Arial"/>
          <w:sz w:val="22"/>
          <w:szCs w:val="22"/>
        </w:rPr>
        <w:t xml:space="preserve">The Technology category consistently accounts for an estimated 60-65% of total sales across all four years. Within Technology, Phones and Computers are the highest-revenue subcategories. This dominance is clearly visible in the treemap and category donut chart on the Products and Executive Summary pages.</w:t>
      </w:r>
    </w:p>
    <w:p>
      <w:pPr>
        <w:spacing w:after="40" w:before="40"/>
      </w:pPr>
      <w:r>
        <w:rPr>
          <w:sz w:val="22"/>
          <w:szCs w:val="22"/>
        </w:rPr>
        <w:t xml:space="preserve"/>
      </w:r>
    </w:p>
    <w:p>
      <w:pPr>
        <w:spacing w:after="100" w:before="200"/>
      </w:pPr>
      <w:r>
        <w:rPr>
          <w:rFonts w:ascii="Arial" w:cs="Arial" w:eastAsia="Arial" w:hAnsi="Arial"/>
          <w:b/>
          <w:bCs/>
          <w:color w:val="1A1A2E"/>
          <w:sz w:val="22"/>
          <w:szCs w:val="22"/>
        </w:rPr>
        <w:t xml:space="preserve">Finding 2 — Sales show consistent year-over-year growth</w:t>
      </w:r>
    </w:p>
    <w:p>
      <w:pPr>
        <w:spacing w:after="80" w:before="80"/>
      </w:pPr>
      <w:r>
        <w:rPr>
          <w:rFonts w:ascii="Arial" w:cs="Arial" w:eastAsia="Arial" w:hAnsi="Arial"/>
          <w:sz w:val="22"/>
          <w:szCs w:val="22"/>
        </w:rPr>
        <w:t xml:space="preserve">Total sales demonstrate a positive upward trend from 2021 to 2024. The YoY Sales Growth measure confirms consistent growth. The Sales vs Prior Year line chart on Page 2 visually confirms this trajectory across all quarters.</w:t>
      </w:r>
    </w:p>
    <w:p>
      <w:pPr>
        <w:spacing w:after="40" w:before="40"/>
      </w:pPr>
      <w:r>
        <w:rPr>
          <w:sz w:val="22"/>
          <w:szCs w:val="22"/>
        </w:rPr>
        <w:t xml:space="preserve"/>
      </w:r>
    </w:p>
    <w:p>
      <w:pPr>
        <w:spacing w:after="100" w:before="200"/>
      </w:pPr>
      <w:r>
        <w:rPr>
          <w:rFonts w:ascii="Arial" w:cs="Arial" w:eastAsia="Arial" w:hAnsi="Arial"/>
          <w:b/>
          <w:bCs/>
          <w:color w:val="1A1A2E"/>
          <w:sz w:val="22"/>
          <w:szCs w:val="22"/>
        </w:rPr>
        <w:t xml:space="preserve">Finding 3 — Profit margins are thin despite strong revenue</w:t>
      </w:r>
    </w:p>
    <w:p>
      <w:pPr>
        <w:spacing w:after="80" w:before="80"/>
      </w:pPr>
      <w:r>
        <w:rPr>
          <w:rFonts w:ascii="Arial" w:cs="Arial" w:eastAsia="Arial" w:hAnsi="Arial"/>
          <w:sz w:val="22"/>
          <w:szCs w:val="22"/>
        </w:rPr>
        <w:t xml:space="preserve">Despite high sales volumes, overall profit margins remain around 11-15%. This suggests aggressive discounting and/or high cost of goods is suppressing profitability. The Avg Discount % measure and the scatter chart of Unit Price vs Gross Margin % expose this pattern clearly.</w:t>
      </w:r>
    </w:p>
    <w:p>
      <w:pPr>
        <w:spacing w:after="40" w:before="40"/>
      </w:pPr>
      <w:r>
        <w:rPr>
          <w:sz w:val="22"/>
          <w:szCs w:val="22"/>
        </w:rPr>
        <w:t xml:space="preserve"/>
      </w:r>
    </w:p>
    <w:p>
      <w:pPr>
        <w:spacing w:after="100" w:before="200"/>
      </w:pPr>
      <w:r>
        <w:rPr>
          <w:rFonts w:ascii="Arial" w:cs="Arial" w:eastAsia="Arial" w:hAnsi="Arial"/>
          <w:b/>
          <w:bCs/>
          <w:color w:val="1A1A2E"/>
          <w:sz w:val="22"/>
          <w:szCs w:val="22"/>
        </w:rPr>
        <w:t xml:space="preserve">Finding 4 — West region outperforms all targets; Central region underperforms</w:t>
      </w:r>
    </w:p>
    <w:p>
      <w:pPr>
        <w:spacing w:after="80" w:before="80"/>
      </w:pPr>
      <w:r>
        <w:rPr>
          <w:rFonts w:ascii="Arial" w:cs="Arial" w:eastAsia="Arial" w:hAnsi="Arial"/>
          <w:sz w:val="22"/>
          <w:szCs w:val="22"/>
        </w:rPr>
        <w:t xml:space="preserve">The West region consistently exceeds its annual sales targets, showing the largest positive Target Gap value. Conversely, the Central region shows the largest negative gap — it falls furthest below its targets. This is highlighted through conditional formatting (green/red) in the Regional Target Summary table on Page 5.</w:t>
      </w:r>
    </w:p>
    <w:p>
      <w:pPr>
        <w:spacing w:after="40" w:before="40"/>
      </w:pPr>
      <w:r>
        <w:rPr>
          <w:sz w:val="22"/>
          <w:szCs w:val="22"/>
        </w:rPr>
        <w:t xml:space="preserve"/>
      </w:r>
    </w:p>
    <w:p>
      <w:pPr>
        <w:spacing w:after="100" w:before="200"/>
      </w:pPr>
      <w:r>
        <w:rPr>
          <w:rFonts w:ascii="Arial" w:cs="Arial" w:eastAsia="Arial" w:hAnsi="Arial"/>
          <w:b/>
          <w:bCs/>
          <w:color w:val="1A1A2E"/>
          <w:sz w:val="22"/>
          <w:szCs w:val="22"/>
        </w:rPr>
        <w:t xml:space="preserve">Finding 5 — Corporate customers generate higher order values</w:t>
      </w:r>
    </w:p>
    <w:p>
      <w:pPr>
        <w:spacing w:after="80" w:before="80"/>
      </w:pPr>
      <w:r>
        <w:rPr>
          <w:rFonts w:ascii="Arial" w:cs="Arial" w:eastAsia="Arial" w:hAnsi="Arial"/>
          <w:sz w:val="22"/>
          <w:szCs w:val="22"/>
        </w:rPr>
        <w:t xml:space="preserve">While the Consumer segment has the most customers, the Corporate segment generates significantly higher average order values. This presents a clear opportunity to grow revenue per customer by focusing more sales effort on the Corporate segment.</w:t>
      </w:r>
    </w:p>
    <w:p>
      <w:pPr>
        <w:spacing w:after="40" w:before="40"/>
      </w:pPr>
      <w:r>
        <w:rPr>
          <w:sz w:val="22"/>
          <w:szCs w:val="22"/>
        </w:rPr>
        <w:t xml:space="preserve"/>
      </w:r>
    </w:p>
    <w:p>
      <w:pPr>
        <w:pStyle w:val="Heading2"/>
        <w:spacing w:after="150" w:before="300"/>
      </w:pPr>
      <w:r>
        <w:rPr>
          <w:rFonts w:ascii="Arial" w:cs="Arial" w:eastAsia="Arial" w:hAnsi="Arial"/>
          <w:b/>
          <w:bCs/>
          <w:color w:val="1A1A2E"/>
          <w:sz w:val="26"/>
          <w:szCs w:val="26"/>
        </w:rPr>
        <w:t xml:space="preserve">4.2  Recommendation</w:t>
      </w:r>
    </w:p>
    <w:p>
      <w:pPr>
        <w:spacing w:after="80" w:before="80"/>
      </w:pPr>
      <w:r>
        <w:rPr>
          <w:rFonts w:ascii="Arial" w:cs="Arial" w:eastAsia="Arial" w:hAnsi="Arial"/>
          <w:sz w:val="22"/>
          <w:szCs w:val="22"/>
        </w:rPr>
        <w:t xml:space="preserve">Based on the analysis, the primary recommendation is to implement a discount cap policy — particularly for Technology products — to protect profit margins. Discounting beyond 10% on high-volume Technology items should require management approval. Additionally, sales investment should be redirected toward the Central region, where a targeted campaign could close the persistent target gap. Growing the Corporate customer segment through dedicated account management would further increase average order value and long-term revenue per customer.</w:t>
      </w:r>
    </w:p>
    <w:p>
      <w:pPr>
        <w:spacing w:after="40" w:before="40"/>
      </w:pPr>
      <w:r>
        <w:rPr>
          <w:sz w:val="22"/>
          <w:szCs w:val="22"/>
        </w:rPr>
        <w:t xml:space="preserve"/>
      </w:r>
    </w:p>
    <w:p>
      <w:pPr>
        <w:spacing w:after="40" w:before="40"/>
      </w:pPr>
      <w:r>
        <w:rPr>
          <w:sz w:val="22"/>
          <w:szCs w:val="22"/>
        </w:rPr>
        <w:t xml:space="preserve"/>
      </w:r>
    </w:p>
    <w:p>
      <w:pPr>
        <w:pBdr>
          <w:top w:val="single" w:color="1A1A2E" w:sz="4" w:space="1"/>
        </w:pBdr>
        <w:spacing w:before="400"/>
        <w:jc w:val="center"/>
      </w:pPr>
      <w:r>
        <w:rPr>
          <w:rFonts w:ascii="Arial" w:cs="Arial" w:eastAsia="Arial" w:hAnsi="Arial"/>
          <w:color w:val="999999"/>
          <w:sz w:val="18"/>
          <w:szCs w:val="18"/>
        </w:rPr>
        <w:t xml:space="preserve">Global Superstore Analytics  |  Power BI Mini Project  |  NSBM Green University  |  April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6" w:space="1"/>
      </w:pBdr>
      <w:spacing w:before="120"/>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1"/>
      </w:pBdr>
      <w:spacing w:after="120"/>
    </w:pPr>
    <w:r>
      <w:rPr>
        <w:rFonts w:ascii="Arial" w:cs="Arial" w:eastAsia="Arial" w:hAnsi="Arial"/>
        <w:color w:val="777777"/>
        <w:sz w:val="18"/>
        <w:szCs w:val="18"/>
      </w:rPr>
      <w:t xml:space="preserve">Global Superstore Analytics  |  Power BI Written Report</w:t>
    </w:r>
    <w:r>
      <w:rPr>
        <w:rFonts w:ascii="Arial" w:cs="Arial" w:eastAsia="Arial" w:hAnsi="Arial"/>
        <w:color w:val="AAAAAA"/>
        <w:sz w:val="18"/>
        <w:szCs w:val="18"/>
      </w:rPr>
      <w:t xml:space="preserve">  |  NSBM Green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2026-04-21T04:04:53.614Z</dcterms:created>
  <dcterms:modified xsi:type="dcterms:W3CDTF">2026-04-21T04:04:53.615Z</dcterms:modified>
</cp:coreProperties>
</file>

<file path=docProps/custom.xml><?xml version="1.0" encoding="utf-8"?>
<Properties xmlns="http://schemas.openxmlformats.org/officeDocument/2006/custom-properties" xmlns:vt="http://schemas.openxmlformats.org/officeDocument/2006/docPropsVTypes"/>
</file>