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A54D" w14:textId="77777777" w:rsidR="00C44D97" w:rsidRPr="00AA298C" w:rsidRDefault="002D402D" w:rsidP="002D402D">
      <w:pPr>
        <w:shd w:val="clear" w:color="auto" w:fill="FFFFFF"/>
        <w:spacing w:before="240" w:after="240" w:line="240" w:lineRule="auto"/>
        <w:rPr>
          <w:rStyle w:val="Heading2Char"/>
          <w:rFonts w:ascii="Segoe UI" w:eastAsiaTheme="minorHAnsi" w:hAnsi="Segoe UI" w:cs="Segoe UI"/>
          <w:sz w:val="40"/>
          <w:szCs w:val="40"/>
        </w:rPr>
      </w:pPr>
      <w:r w:rsidRPr="00AA298C">
        <w:rPr>
          <w:rStyle w:val="Heading2Char"/>
          <w:rFonts w:ascii="Segoe UI" w:eastAsiaTheme="minorHAnsi" w:hAnsi="Segoe UI" w:cs="Segoe UI"/>
          <w:sz w:val="40"/>
          <w:szCs w:val="40"/>
        </w:rPr>
        <w:t>Kaveh MOGHIMBEIGI</w:t>
      </w:r>
    </w:p>
    <w:p w14:paraId="2291FA22" w14:textId="77777777" w:rsidR="00C44D97" w:rsidRPr="00AA298C" w:rsidRDefault="00C44D97" w:rsidP="002D402D">
      <w:pPr>
        <w:shd w:val="clear" w:color="auto" w:fill="FFFFFF"/>
        <w:spacing w:before="240" w:after="240" w:line="240" w:lineRule="auto"/>
        <w:rPr>
          <w:rStyle w:val="Heading2Char"/>
          <w:rFonts w:ascii="Segoe UI" w:eastAsiaTheme="minorHAnsi" w:hAnsi="Segoe UI" w:cs="Segoe UI"/>
          <w:sz w:val="28"/>
          <w:szCs w:val="28"/>
        </w:rPr>
      </w:pPr>
      <w:r w:rsidRPr="00AA298C">
        <w:rPr>
          <w:rStyle w:val="Heading2Char"/>
          <w:rFonts w:ascii="Segoe UI" w:eastAsiaTheme="minorHAnsi" w:hAnsi="Segoe UI" w:cs="Segoe UI"/>
          <w:i/>
          <w:iCs/>
          <w:sz w:val="28"/>
          <w:szCs w:val="28"/>
        </w:rPr>
        <w:t>Engineering Manager / Business Development Consultant</w:t>
      </w:r>
      <w:r w:rsidRPr="00AA298C">
        <w:rPr>
          <w:rStyle w:val="Heading2Char"/>
          <w:rFonts w:ascii="Segoe UI" w:eastAsiaTheme="minorHAnsi" w:hAnsi="Segoe UI" w:cs="Segoe UI"/>
          <w:sz w:val="28"/>
          <w:szCs w:val="28"/>
        </w:rPr>
        <w:t xml:space="preserve"> </w:t>
      </w:r>
    </w:p>
    <w:p w14:paraId="1C3A7DA3" w14:textId="6EB4A145" w:rsidR="002D402D" w:rsidRPr="00E93CC2" w:rsidRDefault="002D402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theme="minorHAnsi"/>
          <w:color w:val="0F1115"/>
          <w:sz w:val="24"/>
          <w:szCs w:val="24"/>
          <w:lang w:val="fr-FR"/>
        </w:rPr>
      </w:pPr>
      <w:r w:rsidRPr="00E93CC2">
        <w:rPr>
          <w:rFonts w:ascii="Segoe UI" w:eastAsia="Times New Roman" w:hAnsi="Segoe UI" w:cs="Segoe UI"/>
          <w:color w:val="0F1115"/>
          <w:lang w:val="fr-FR"/>
        </w:rPr>
        <w:br/>
      </w:r>
      <w:r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Tehran, Iran | +98(0)912-2586855 | kaveh</w:t>
      </w:r>
      <w:r w:rsidR="00E93CC2"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.moghimbeigi@</w:t>
      </w:r>
      <w:r w:rsid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gmail.com</w:t>
      </w:r>
      <w:r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br/>
      </w:r>
      <w:proofErr w:type="gramStart"/>
      <w:r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LinkedIn:</w:t>
      </w:r>
      <w:proofErr w:type="gramEnd"/>
      <w:r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 </w:t>
      </w:r>
      <w:hyperlink r:id="rId6" w:tgtFrame="_blank" w:history="1">
        <w:r w:rsidRPr="00E93CC2">
          <w:rPr>
            <w:rFonts w:ascii="Roboto" w:eastAsia="Times New Roman" w:hAnsi="Roboto" w:cstheme="minorHAnsi"/>
            <w:color w:val="3964FE"/>
            <w:sz w:val="24"/>
            <w:szCs w:val="24"/>
            <w:bdr w:val="single" w:sz="12" w:space="0" w:color="auto" w:frame="1"/>
            <w:lang w:val="fr-FR"/>
          </w:rPr>
          <w:t>linkedin.com/in/</w:t>
        </w:r>
        <w:proofErr w:type="spellStart"/>
        <w:r w:rsidRPr="00E93CC2">
          <w:rPr>
            <w:rFonts w:ascii="Roboto" w:eastAsia="Times New Roman" w:hAnsi="Roboto" w:cstheme="minorHAnsi"/>
            <w:color w:val="3964FE"/>
            <w:sz w:val="24"/>
            <w:szCs w:val="24"/>
            <w:bdr w:val="single" w:sz="12" w:space="0" w:color="auto" w:frame="1"/>
            <w:lang w:val="fr-FR"/>
          </w:rPr>
          <w:t>kaveh-moghimbeigi</w:t>
        </w:r>
        <w:proofErr w:type="spellEnd"/>
      </w:hyperlink>
      <w:r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br/>
        <w:t xml:space="preserve">Born: 1980-06-30 | </w:t>
      </w:r>
      <w:proofErr w:type="spellStart"/>
      <w:r w:rsidRPr="00E93CC2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Iranian</w:t>
      </w:r>
      <w:proofErr w:type="spellEnd"/>
    </w:p>
    <w:p w14:paraId="0AF29F20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Executive Profile</w:t>
      </w:r>
    </w:p>
    <w:p w14:paraId="18CF37FD" w14:textId="3F7FFC86" w:rsidR="002D402D" w:rsidRPr="00E8312B" w:rsidRDefault="002D402D" w:rsidP="00E8312B">
      <w:pPr>
        <w:shd w:val="clear" w:color="auto" w:fill="FFFFFF"/>
        <w:spacing w:before="240" w:after="240" w:line="240" w:lineRule="auto"/>
        <w:jc w:val="both"/>
        <w:rPr>
          <w:rFonts w:ascii="Roboto" w:eastAsia="Times New Roman" w:hAnsi="Roboto" w:cs="Segoe UI"/>
          <w:color w:val="0F1115"/>
          <w:sz w:val="24"/>
          <w:szCs w:val="24"/>
        </w:rPr>
      </w:pPr>
      <w:r w:rsidRPr="00E8312B">
        <w:rPr>
          <w:rFonts w:ascii="Roboto" w:eastAsia="Times New Roman" w:hAnsi="Roboto" w:cs="Segoe UI"/>
          <w:color w:val="0F1115"/>
          <w:sz w:val="24"/>
          <w:szCs w:val="24"/>
        </w:rPr>
        <w:t>Engineering Manager and strategic business advisor with 20+ years of experience bridging technical execution and corporate governance. ENSAM engineering diploma (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>General Engineering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 xml:space="preserve">with </w:t>
      </w:r>
      <w:r w:rsidR="00E8312B" w:rsidRPr="00E8312B">
        <w:rPr>
          <w:rFonts w:ascii="Roboto" w:eastAsia="Times New Roman" w:hAnsi="Roboto" w:cs="Segoe UI"/>
          <w:color w:val="0F1115"/>
          <w:sz w:val="24"/>
          <w:szCs w:val="24"/>
        </w:rPr>
        <w:t>entrepreneurship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 specialization) plus a strong foundation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 xml:space="preserve"> in electrical engineering, industrial engineering and IT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 (Master’s level, ranked 2nd). Proven track record in board-level advisory, business model innovation, and strategic transformation across energy (storage, dispatching, thermal, wind, solar), telecom, logistics, 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 xml:space="preserve">Insurance, 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healthcare, gaming, and fintech. Expert in aligning technology roadmaps with shareholder value, risk governance, and scaling </w:t>
      </w:r>
      <w:r w:rsidR="00E8312B" w:rsidRPr="00E8312B">
        <w:rPr>
          <w:rFonts w:ascii="Roboto" w:eastAsia="Times New Roman" w:hAnsi="Roboto" w:cs="Segoe UI"/>
          <w:color w:val="0F1115"/>
          <w:sz w:val="24"/>
          <w:szCs w:val="24"/>
        </w:rPr>
        <w:t>organizations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>.</w:t>
      </w:r>
      <w:r w:rsidR="00C07A1F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>Demonstrated ability to secure government grants and strategically aligned venture capital, bridging public-sector innovation funding with private investment governance.</w:t>
      </w:r>
      <w:r w:rsid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834F70" w:rsidRPr="00834F70">
        <w:rPr>
          <w:rFonts w:ascii="Roboto" w:eastAsia="Times New Roman" w:hAnsi="Roboto" w:cs="Segoe UI"/>
          <w:color w:val="0F1115"/>
          <w:sz w:val="24"/>
          <w:szCs w:val="24"/>
        </w:rPr>
        <w:t>Brings TRIZ (inventive problem solving) and Six Sigma to board-level strategy, ensuring disciplined innovation and quality governance.</w:t>
      </w:r>
    </w:p>
    <w:p w14:paraId="60A3A293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Core Competencies for Board &amp; Strategy Roles</w:t>
      </w:r>
    </w:p>
    <w:tbl>
      <w:tblPr>
        <w:tblW w:w="11280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2D402D" w:rsidRPr="00383F22" w14:paraId="0690291D" w14:textId="77777777" w:rsidTr="00914480">
        <w:trPr>
          <w:trHeight w:val="165"/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0CE0D" w14:textId="77777777" w:rsidR="002D402D" w:rsidRPr="00AC5DB2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</w:pPr>
            <w:r w:rsidRPr="00AC5DB2"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84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8ABC" w14:textId="77777777" w:rsidR="002D402D" w:rsidRPr="00AC5DB2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</w:pPr>
            <w:r w:rsidRPr="00AC5DB2"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>Expertise</w:t>
            </w:r>
          </w:p>
        </w:tc>
      </w:tr>
      <w:tr w:rsidR="002D402D" w:rsidRPr="00383F22" w14:paraId="166B1BB6" w14:textId="77777777" w:rsidTr="00914480">
        <w:trPr>
          <w:trHeight w:val="309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BF42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Corporate Governance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2562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Board reporting, fiduciary responsibility, compliance, stakeholder alignment</w:t>
            </w:r>
          </w:p>
        </w:tc>
      </w:tr>
      <w:tr w:rsidR="00383F22" w:rsidRPr="00383F22" w14:paraId="05C01CC4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9AFBE" w14:textId="7219A7C5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Capital &amp; Grant Strategy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7D5C1" w14:textId="0FA134DE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Government grant acquisition (R&amp;D, innovation), VC relationship mapping, strategic capital alignment</w:t>
            </w:r>
          </w:p>
        </w:tc>
      </w:tr>
      <w:tr w:rsidR="00383F22" w:rsidRPr="00383F22" w14:paraId="34E5C4C2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D043F" w14:textId="6600E762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Investor &amp; Public Funding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8AB06" w14:textId="4BB99389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Non-dilutive funding (grants, subsidies), Series A/B readiness, board-level capital governance</w:t>
            </w:r>
          </w:p>
        </w:tc>
      </w:tr>
      <w:tr w:rsidR="002D402D" w:rsidRPr="00383F22" w14:paraId="496A81D6" w14:textId="77777777" w:rsidTr="00914480">
        <w:trPr>
          <w:trHeight w:val="26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2D94E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Strategy &amp; Transformation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7440D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Business model design, digital transformation, M&amp;A, market entry</w:t>
            </w:r>
          </w:p>
        </w:tc>
      </w:tr>
      <w:tr w:rsidR="002D402D" w:rsidRPr="00383F22" w14:paraId="687391DC" w14:textId="77777777" w:rsidTr="00914480">
        <w:trPr>
          <w:trHeight w:val="26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C3CA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Risk &amp; Portfolio Management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AD614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Technology risk, operational resilience, investment governance, OKR/KPI</w:t>
            </w:r>
          </w:p>
        </w:tc>
      </w:tr>
      <w:tr w:rsidR="00383F22" w:rsidRPr="00383F22" w14:paraId="62B5E16F" w14:textId="77777777" w:rsidTr="00914480">
        <w:trPr>
          <w:trHeight w:val="417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595D9" w14:textId="614AC368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Systematic Innovation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2697F" w14:textId="0C375EFA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TRIZ practitioner – contradiction resolution, ideal final result, functional modelling</w:t>
            </w:r>
          </w:p>
        </w:tc>
      </w:tr>
      <w:tr w:rsidR="00383F22" w:rsidRPr="00383F22" w14:paraId="6831A0EF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8218A" w14:textId="43434967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Process Excellence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B6C2C" w14:textId="0763D12F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Six Sigma Green Belt – DMAIC, statistical process control, root cause analysis</w:t>
            </w:r>
          </w:p>
        </w:tc>
      </w:tr>
      <w:tr w:rsidR="002D402D" w:rsidRPr="00383F22" w14:paraId="16DF58F0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8189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Innovation &amp; Emerging Tech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92BBA" w14:textId="3A7933D1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 xml:space="preserve">AI/ML, blockchain/smart contracts, supply chain </w:t>
            </w:r>
            <w:r w:rsidR="00383F22" w:rsidRPr="00C07A1F">
              <w:rPr>
                <w:rFonts w:ascii="Roboto" w:eastAsia="Times New Roman" w:hAnsi="Roboto" w:cs="Segoe UI"/>
                <w:sz w:val="18"/>
                <w:szCs w:val="18"/>
              </w:rPr>
              <w:t>digitization</w:t>
            </w: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, expert systems</w:t>
            </w:r>
            <w:r w:rsidR="00383F22" w:rsidRPr="00C07A1F">
              <w:rPr>
                <w:rFonts w:ascii="Roboto" w:eastAsia="Times New Roman" w:hAnsi="Roboto" w:cs="Segoe UI"/>
                <w:sz w:val="18"/>
                <w:szCs w:val="18"/>
              </w:rPr>
              <w:t>, Insurtech</w:t>
            </w:r>
          </w:p>
        </w:tc>
      </w:tr>
    </w:tbl>
    <w:p w14:paraId="1163A4EA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lastRenderedPageBreak/>
        <w:t>Board &amp; Advisory Experience</w:t>
      </w:r>
    </w:p>
    <w:p w14:paraId="36BA618D" w14:textId="593C0401" w:rsidR="002D402D" w:rsidRPr="002D402D" w:rsidRDefault="00AC5DB2" w:rsidP="002D40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Independent</w:t>
      </w:r>
      <w:r w:rsidR="002D402D"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Consultant</w:t>
      </w:r>
      <w:r w:rsidR="002D402D" w:rsidRPr="00C07A1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="002D402D" w:rsidRPr="00C07A1F">
        <w:rPr>
          <w:rFonts w:ascii="Roboto" w:eastAsia="Times New Roman" w:hAnsi="Roboto" w:cs="Segoe UI"/>
          <w:color w:val="0F1115"/>
          <w:sz w:val="24"/>
          <w:szCs w:val="24"/>
        </w:rPr>
        <w:t>(2018 – Present)</w:t>
      </w:r>
      <w:r w:rsidR="002D402D" w:rsidRPr="002D402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="002D402D" w:rsidRPr="00C07A1F">
        <w:rPr>
          <w:rFonts w:ascii="Roboto" w:eastAsia="Times New Roman" w:hAnsi="Roboto" w:cs="Segoe UI"/>
          <w:i/>
          <w:iCs/>
          <w:color w:val="0F1115"/>
          <w:sz w:val="24"/>
          <w:szCs w:val="24"/>
        </w:rPr>
        <w:t>Strategic advisor to boards and C-suites across multiple sectors</w:t>
      </w:r>
    </w:p>
    <w:p w14:paraId="5081C983" w14:textId="77777777" w:rsidR="00914480" w:rsidRDefault="002D402D" w:rsidP="00C07A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Supply Chain Management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>: Advised logistics firm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>s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on fleet tracking</w:t>
      </w:r>
      <w:r w:rsidR="00AC5DB2" w:rsidRPr="00C07A1F">
        <w:rPr>
          <w:rFonts w:ascii="Roboto" w:eastAsia="Times New Roman" w:hAnsi="Roboto" w:cs="Segoe UI"/>
          <w:color w:val="0F1115"/>
          <w:sz w:val="24"/>
          <w:szCs w:val="24"/>
        </w:rPr>
        <w:t>, business automation and traceability and financing.</w:t>
      </w:r>
    </w:p>
    <w:p w14:paraId="273D2F12" w14:textId="5C2EE86A" w:rsidR="002D402D" w:rsidRPr="00101162" w:rsidRDefault="00914480" w:rsidP="00C07A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Ed-Tech and Gamification</w:t>
      </w:r>
    </w:p>
    <w:p w14:paraId="71439F00" w14:textId="36687157" w:rsidR="002D402D" w:rsidRPr="00C07A1F" w:rsidRDefault="002D402D" w:rsidP="002D40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Crypto &amp; Smart Contracts: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C07A1F">
        <w:rPr>
          <w:rFonts w:ascii="Roboto" w:eastAsia="Times New Roman" w:hAnsi="Roboto" w:cs="Segoe UI"/>
          <w:color w:val="0F1115"/>
          <w:sz w:val="24"/>
          <w:szCs w:val="24"/>
        </w:rPr>
        <w:t>Tokenomics</w:t>
      </w:r>
      <w:proofErr w:type="spellEnd"/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and smart contract auditing (Ethereum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>/TON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>).</w:t>
      </w:r>
    </w:p>
    <w:p w14:paraId="4A37BE8E" w14:textId="704B7C65" w:rsidR="002D402D" w:rsidRDefault="002D402D" w:rsidP="002D40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SaaS &amp; Expert Systems: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Guided B2B</w:t>
      </w:r>
      <w:r w:rsidR="00914480">
        <w:rPr>
          <w:rFonts w:ascii="Roboto" w:eastAsia="Times New Roman" w:hAnsi="Roboto" w:cs="Segoe UI"/>
          <w:color w:val="0F1115"/>
          <w:sz w:val="24"/>
          <w:szCs w:val="24"/>
        </w:rPr>
        <w:t>/B2C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SaaS companies through product-market fit and Series A</w:t>
      </w:r>
      <w:r w:rsidR="00347A10">
        <w:rPr>
          <w:rFonts w:ascii="Roboto" w:eastAsia="Times New Roman" w:hAnsi="Roboto" w:cs="Segoe UI"/>
          <w:color w:val="0F1115"/>
          <w:sz w:val="24"/>
          <w:szCs w:val="24"/>
        </w:rPr>
        <w:t>, B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prep.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347A10">
        <w:rPr>
          <w:rFonts w:ascii="Roboto" w:eastAsia="Times New Roman" w:hAnsi="Roboto" w:cs="Segoe UI"/>
          <w:color w:val="0F1115"/>
          <w:sz w:val="24"/>
          <w:szCs w:val="24"/>
        </w:rPr>
        <w:t>Designed and Deployed a few SaaS systems from idea to delivery.</w:t>
      </w:r>
    </w:p>
    <w:p w14:paraId="310EAA5D" w14:textId="1A2D6A80" w:rsidR="00347A10" w:rsidRPr="00347A10" w:rsidRDefault="00347A10" w:rsidP="00347A1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Roboto" w:hAnsi="Roboto" w:cs="Segoe UI"/>
          <w:color w:val="0F1115"/>
        </w:rPr>
      </w:pPr>
      <w:r w:rsidRPr="00101162">
        <w:rPr>
          <w:rFonts w:ascii="Segoe UI" w:hAnsi="Segoe UI" w:cs="Segoe UI"/>
          <w:b/>
          <w:bCs/>
          <w:color w:val="0F1115"/>
        </w:rPr>
        <w:t>Capital &amp; Grant Strategy:</w:t>
      </w:r>
      <w:r>
        <w:rPr>
          <w:rFonts w:ascii="Segoe UI" w:hAnsi="Segoe UI" w:cs="Segoe UI"/>
          <w:color w:val="0F1115"/>
        </w:rPr>
        <w:t xml:space="preserve"> </w:t>
      </w:r>
      <w:r w:rsidRPr="00347A10">
        <w:rPr>
          <w:rFonts w:ascii="Roboto" w:hAnsi="Roboto" w:cs="Segoe UI"/>
          <w:color w:val="0F1115"/>
        </w:rPr>
        <w:t>Secured and advised on government innovation grants (energy, SaaS, supply chain) and facilitated strategic VC introductions, resulting in &gt;</w:t>
      </w:r>
      <w:r>
        <w:rPr>
          <w:rFonts w:ascii="Roboto" w:hAnsi="Roboto" w:cs="Segoe UI"/>
          <w:color w:val="0F1115"/>
        </w:rPr>
        <w:t>1.5M€</w:t>
      </w:r>
      <w:r w:rsidRPr="00347A10">
        <w:rPr>
          <w:rFonts w:ascii="Roboto" w:hAnsi="Roboto" w:cs="Segoe UI"/>
          <w:color w:val="0F1115"/>
        </w:rPr>
        <w:t xml:space="preserve"> combined capital alignment.</w:t>
      </w:r>
    </w:p>
    <w:p w14:paraId="57963BA8" w14:textId="71D64BE0" w:rsidR="002D402D" w:rsidRPr="00C07A1F" w:rsidRDefault="002D402D" w:rsidP="002D40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Board Advisory: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External strategy advisor to </w:t>
      </w:r>
      <w:r w:rsidR="00C07A1F">
        <w:rPr>
          <w:rFonts w:ascii="Roboto" w:eastAsia="Times New Roman" w:hAnsi="Roboto" w:cs="Segoe UI"/>
          <w:color w:val="0F1115"/>
          <w:sz w:val="24"/>
          <w:szCs w:val="24"/>
        </w:rPr>
        <w:t>many Iranian and European startups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>.</w:t>
      </w:r>
    </w:p>
    <w:p w14:paraId="5864BD3C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Selected Strategic Leadership Experience</w:t>
      </w:r>
    </w:p>
    <w:p w14:paraId="2BBC9EFC" w14:textId="0EA76441" w:rsidR="002D402D" w:rsidRPr="002D402D" w:rsidRDefault="002D402D" w:rsidP="002D40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Senior Data/Backend Developer</w:t>
      </w:r>
      <w:r w:rsidR="00A100A7"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 Consultant</w:t>
      </w:r>
      <w:r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 xml:space="preserve"> 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(04/2021 – Present)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Parsis Co. (</w:t>
      </w:r>
      <w:r w:rsidR="001C0A1D">
        <w:rPr>
          <w:rFonts w:ascii="Roboto" w:eastAsia="Times New Roman" w:hAnsi="Roboto" w:cs="Segoe UI"/>
          <w:color w:val="0F1115"/>
          <w:sz w:val="24"/>
          <w:szCs w:val="24"/>
        </w:rPr>
        <w:t>MCI.ir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) – Iran’s largest mobile operator</w:t>
      </w:r>
    </w:p>
    <w:p w14:paraId="75D06992" w14:textId="0D23BF0A" w:rsidR="002D402D" w:rsidRPr="002D402D" w:rsidRDefault="002D402D" w:rsidP="002D40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CTO &amp; </w:t>
      </w:r>
      <w:r w:rsidR="00347A10"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Member of the Board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(09/2015 – 09/2018)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A100A7">
        <w:rPr>
          <w:rFonts w:ascii="Roboto" w:eastAsia="Times New Roman" w:hAnsi="Roboto" w:cs="Segoe UI"/>
          <w:color w:val="0F1115"/>
          <w:sz w:val="24"/>
          <w:szCs w:val="24"/>
        </w:rPr>
        <w:t>HeartBoxGames</w:t>
      </w:r>
      <w:proofErr w:type="spellEnd"/>
      <w:r w:rsidRPr="00A100A7">
        <w:rPr>
          <w:rFonts w:ascii="Roboto" w:eastAsia="Times New Roman" w:hAnsi="Roboto" w:cs="Segoe UI"/>
          <w:color w:val="0F1115"/>
          <w:sz w:val="24"/>
          <w:szCs w:val="24"/>
        </w:rPr>
        <w:t xml:space="preserve"> – Cannes, France</w:t>
      </w:r>
    </w:p>
    <w:p w14:paraId="576EF90E" w14:textId="3EF3F7F5" w:rsidR="002D402D" w:rsidRPr="00A100A7" w:rsidRDefault="002D402D" w:rsidP="00A100A7">
      <w:pPr>
        <w:pStyle w:val="ListParagraph"/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A100A7">
        <w:rPr>
          <w:rFonts w:ascii="Roboto" w:eastAsia="Times New Roman" w:hAnsi="Roboto" w:cs="Segoe UI"/>
          <w:color w:val="0F1115"/>
          <w:sz w:val="24"/>
          <w:szCs w:val="24"/>
        </w:rPr>
        <w:t>OKR/KPI framework, investor reporting, partner negotiations (</w:t>
      </w:r>
      <w:r w:rsidR="00347A10" w:rsidRPr="00A100A7">
        <w:rPr>
          <w:rFonts w:ascii="Roboto" w:eastAsia="Times New Roman" w:hAnsi="Roboto" w:cs="Segoe UI"/>
          <w:color w:val="0F1115"/>
          <w:sz w:val="24"/>
          <w:szCs w:val="24"/>
        </w:rPr>
        <w:t>3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00K+ downloads).</w:t>
      </w:r>
    </w:p>
    <w:p w14:paraId="1A088FFF" w14:textId="77777777" w:rsidR="001C0A1D" w:rsidRDefault="002D402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3964FE"/>
          <w:sz w:val="24"/>
          <w:szCs w:val="24"/>
          <w:bdr w:val="single" w:sz="12" w:space="0" w:color="auto" w:frame="1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Program Manager &amp; PMO Founder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(06/2020 – 03/2021)</w:t>
      </w:r>
    </w:p>
    <w:p w14:paraId="57556108" w14:textId="464044E2" w:rsidR="002D402D" w:rsidRPr="00A100A7" w:rsidRDefault="001C0A1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>
        <w:rPr>
          <w:rFonts w:ascii="Roboto" w:eastAsia="Times New Roman" w:hAnsi="Roboto" w:cs="Segoe UI"/>
          <w:color w:val="0F1115"/>
          <w:sz w:val="24"/>
          <w:szCs w:val="24"/>
        </w:rPr>
        <w:t>Webhouse.ir -</w:t>
      </w:r>
      <w:r w:rsidR="002D402D" w:rsidRPr="00A100A7">
        <w:rPr>
          <w:rFonts w:ascii="Roboto" w:eastAsia="Times New Roman" w:hAnsi="Roboto" w:cs="Segoe UI"/>
          <w:color w:val="0F1115"/>
          <w:sz w:val="24"/>
          <w:szCs w:val="24"/>
        </w:rPr>
        <w:t xml:space="preserve"> Tehran, Iran</w:t>
      </w:r>
    </w:p>
    <w:p w14:paraId="01784CAC" w14:textId="77777777" w:rsidR="002D402D" w:rsidRPr="00A100A7" w:rsidRDefault="002D402D" w:rsidP="002D40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A100A7">
        <w:rPr>
          <w:rFonts w:ascii="Roboto" w:eastAsia="Times New Roman" w:hAnsi="Roboto" w:cs="Segoe UI"/>
          <w:color w:val="0F1115"/>
          <w:sz w:val="24"/>
          <w:szCs w:val="24"/>
        </w:rPr>
        <w:t>Established PMO and governance dashboards for executive oversight.</w:t>
      </w:r>
    </w:p>
    <w:p w14:paraId="7F221103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Other Relevant Experience</w:t>
      </w:r>
    </w:p>
    <w:p w14:paraId="58F39893" w14:textId="58C56097" w:rsidR="002D402D" w:rsidRPr="00834F70" w:rsidRDefault="002D402D" w:rsidP="00347A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CTO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(2007–2010) –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Pooyesh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Gostaran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Tarabar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(fleet tracking, INMARSAT</w:t>
      </w:r>
      <w:r w:rsidR="00A100A7" w:rsidRPr="00834F70">
        <w:rPr>
          <w:rFonts w:ascii="Roboto" w:eastAsia="Times New Roman" w:hAnsi="Roboto" w:cs="Segoe UI"/>
          <w:color w:val="0F1115"/>
          <w:sz w:val="24"/>
          <w:szCs w:val="24"/>
        </w:rPr>
        <w:t>)</w:t>
      </w:r>
    </w:p>
    <w:p w14:paraId="143127C8" w14:textId="77777777" w:rsidR="002D402D" w:rsidRPr="002D402D" w:rsidRDefault="002D402D" w:rsidP="002D40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116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Senior Developer / Technical Project</w:t>
      </w:r>
      <w:r w:rsidRPr="00834F70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 xml:space="preserve"> Manager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(2009–2010) – Pars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Kaghak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Rayaneh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.</w:t>
      </w:r>
    </w:p>
    <w:p w14:paraId="44EBA6D6" w14:textId="3675F381" w:rsidR="00834F70" w:rsidRDefault="00834F70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</w:p>
    <w:p w14:paraId="660B60F2" w14:textId="5D930FE2" w:rsidR="00914480" w:rsidRDefault="00914480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</w:p>
    <w:p w14:paraId="6DD5477C" w14:textId="77777777" w:rsidR="00914480" w:rsidRDefault="00914480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</w:p>
    <w:p w14:paraId="3CCFD81B" w14:textId="6C2AE6F8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lastRenderedPageBreak/>
        <w:t>Education – Strategic &amp; Engineering Foundation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070"/>
        <w:gridCol w:w="5700"/>
      </w:tblGrid>
      <w:tr w:rsidR="00AC5DB2" w:rsidRPr="00834F70" w14:paraId="60FC8F40" w14:textId="77777777" w:rsidTr="00834F70">
        <w:trPr>
          <w:tblHeader/>
        </w:trPr>
        <w:tc>
          <w:tcPr>
            <w:tcW w:w="35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26358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Degree</w:t>
            </w:r>
          </w:p>
        </w:tc>
        <w:tc>
          <w:tcPr>
            <w:tcW w:w="20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F12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Institution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11E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Focus</w:t>
            </w:r>
          </w:p>
        </w:tc>
      </w:tr>
      <w:tr w:rsidR="00AC5DB2" w:rsidRPr="00834F70" w14:paraId="2FCF6C2E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07D44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Engineering Diploma (Grande École)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6C94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ENSAM, Paris (2013–2016)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1932" w14:textId="78F37669" w:rsidR="002D402D" w:rsidRPr="00834F70" w:rsidRDefault="00834F70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AA298C">
              <w:rPr>
                <w:rFonts w:ascii="Roboto" w:eastAsia="Times New Roman" w:hAnsi="Roboto" w:cs="Segoe UI"/>
                <w:sz w:val="20"/>
                <w:szCs w:val="20"/>
              </w:rPr>
              <w:t xml:space="preserve">Multidisciplinary engineering and management degree </w:t>
            </w:r>
            <w:r w:rsidR="002D402D" w:rsidRPr="00AA298C">
              <w:rPr>
                <w:rFonts w:ascii="Roboto" w:eastAsia="Times New Roman" w:hAnsi="Roboto" w:cs="Segoe UI"/>
                <w:sz w:val="20"/>
                <w:szCs w:val="20"/>
              </w:rPr>
              <w:t>+ Entrepreneurship</w:t>
            </w:r>
            <w:r w:rsidRPr="00AA298C">
              <w:rPr>
                <w:rFonts w:ascii="Roboto" w:eastAsia="Times New Roman" w:hAnsi="Roboto" w:cs="Segoe UI"/>
                <w:sz w:val="20"/>
                <w:szCs w:val="20"/>
              </w:rPr>
              <w:t xml:space="preserve"> specialization (MASTER)</w:t>
            </w:r>
            <w:r w:rsidR="002D402D" w:rsidRPr="00834F70">
              <w:rPr>
                <w:rFonts w:ascii="Roboto" w:eastAsia="Times New Roman" w:hAnsi="Roboto" w:cs="Segoe UI"/>
                <w:sz w:val="20"/>
                <w:szCs w:val="20"/>
              </w:rPr>
              <w:t> – strategy, finance, governance</w:t>
            </w:r>
            <w:r w:rsidR="00AC5DB2" w:rsidRPr="00834F70">
              <w:rPr>
                <w:rFonts w:ascii="Roboto" w:eastAsia="Times New Roman" w:hAnsi="Roboto" w:cs="Segoe UI"/>
                <w:sz w:val="20"/>
                <w:szCs w:val="20"/>
              </w:rPr>
              <w:t>, project and product management</w:t>
            </w:r>
          </w:p>
        </w:tc>
      </w:tr>
      <w:tr w:rsidR="00AC5DB2" w:rsidRPr="00834F70" w14:paraId="0D3E7275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5F275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Master 1 – </w:t>
            </w:r>
            <w:proofErr w:type="spellStart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Automatique</w:t>
            </w:r>
            <w:proofErr w:type="spellEnd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 &amp; </w:t>
            </w:r>
            <w:proofErr w:type="spellStart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Systèmes</w:t>
            </w:r>
            <w:proofErr w:type="spellEnd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 </w:t>
            </w:r>
            <w:proofErr w:type="spellStart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Électriques</w:t>
            </w:r>
            <w:proofErr w:type="spellEnd"/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52DD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Université Lille 1 (2012–2013)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B264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Ranked 2nd – energy systems, control, dispatching</w:t>
            </w:r>
          </w:p>
        </w:tc>
      </w:tr>
      <w:tr w:rsidR="00AC5DB2" w:rsidRPr="00834F70" w14:paraId="7BD24A47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BAF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Bachelor of Engineering – Electrical Engineering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3BA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Université Lille 1 (2010–2012)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AFF56" w14:textId="189BBBC4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Power systems, </w:t>
            </w:r>
            <w:r w:rsidR="00834F70">
              <w:rPr>
                <w:rFonts w:ascii="Roboto" w:eastAsia="Times New Roman" w:hAnsi="Roboto" w:cs="Segoe UI"/>
                <w:sz w:val="20"/>
                <w:szCs w:val="20"/>
              </w:rPr>
              <w:t>E</w:t>
            </w:r>
            <w:r w:rsidR="00AC5DB2" w:rsidRPr="00834F70">
              <w:rPr>
                <w:rFonts w:ascii="Roboto" w:eastAsia="Times New Roman" w:hAnsi="Roboto" w:cs="Segoe UI"/>
                <w:sz w:val="20"/>
                <w:szCs w:val="20"/>
              </w:rPr>
              <w:t>lectronics, Telecommunications and Control Systems</w:t>
            </w:r>
          </w:p>
        </w:tc>
      </w:tr>
      <w:tr w:rsidR="00AC5DB2" w:rsidRPr="00834F70" w14:paraId="2919647F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73F0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Associate Degree – Telecommunications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98A1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Islamic Azad University (1997–2002)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0152E" w14:textId="44816551" w:rsidR="002D402D" w:rsidRPr="00834F70" w:rsidRDefault="00AC5DB2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Telecommunications</w:t>
            </w:r>
          </w:p>
        </w:tc>
      </w:tr>
    </w:tbl>
    <w:p w14:paraId="4E312D5C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Languages</w:t>
      </w:r>
    </w:p>
    <w:p w14:paraId="4FA5F85D" w14:textId="77777777" w:rsidR="002D402D" w:rsidRPr="00315DC0" w:rsidRDefault="002D402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>English (Excellent), French (Excellent), German (B1/B2), Persian (Native), Arabic (Intermediate), Russian (Notions)</w:t>
      </w:r>
    </w:p>
    <w:p w14:paraId="2D35EEBD" w14:textId="77777777" w:rsidR="002D402D" w:rsidRPr="00AA298C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AA298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Strategic Toolbox for Board-Level Roles</w:t>
      </w:r>
    </w:p>
    <w:p w14:paraId="0914922B" w14:textId="04BCA7E7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Energy: storage </w:t>
      </w:r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>optimization</w:t>
      </w:r>
      <w:r w:rsidRPr="00315DC0">
        <w:rPr>
          <w:rFonts w:ascii="Roboto" w:eastAsia="Times New Roman" w:hAnsi="Roboto" w:cs="Segoe UI"/>
          <w:color w:val="0F1115"/>
          <w:sz w:val="24"/>
          <w:szCs w:val="24"/>
        </w:rPr>
        <w:t>, thermal/wind/solar strategy, SCADA governance</w:t>
      </w:r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, </w:t>
      </w:r>
      <w:proofErr w:type="spellStart"/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>PassivHaus</w:t>
      </w:r>
      <w:proofErr w:type="spellEnd"/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 and Energy Plus Buildings</w:t>
      </w:r>
    </w:p>
    <w:p w14:paraId="7538365D" w14:textId="14347A19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Strategy &amp; Governance: OKRs, KPIs, Balanced Scorecard, </w:t>
      </w:r>
      <w:r w:rsidR="00834F70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SWOT, </w:t>
      </w:r>
      <w:r w:rsidRPr="00315DC0">
        <w:rPr>
          <w:rFonts w:ascii="Roboto" w:eastAsia="Times New Roman" w:hAnsi="Roboto" w:cs="Segoe UI"/>
          <w:color w:val="0F1115"/>
          <w:sz w:val="24"/>
          <w:szCs w:val="24"/>
        </w:rPr>
        <w:t>Risk Registers</w:t>
      </w:r>
    </w:p>
    <w:p w14:paraId="088A7737" w14:textId="72E86707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>Emerging Tech: AI/ML, smart contracts, expert systems</w:t>
      </w:r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, SaaS, e-commerce, </w:t>
      </w:r>
      <w:proofErr w:type="spellStart"/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>tokenomics</w:t>
      </w:r>
      <w:proofErr w:type="spellEnd"/>
    </w:p>
    <w:p w14:paraId="430C1BF9" w14:textId="77777777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>Data &amp; Analytics: SQL, PowerBI, Tableau</w:t>
      </w:r>
    </w:p>
    <w:p w14:paraId="074F8379" w14:textId="77777777" w:rsidR="003422D3" w:rsidRDefault="003422D3"/>
    <w:sectPr w:rsidR="003422D3" w:rsidSect="00C44D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1621BD8-AAF6-4FD8-93CD-A8E12C599AE9}"/>
    <w:embedBold r:id="rId2" w:fontKey="{7E8D761A-90DE-4283-8F45-06B552ABF67D}"/>
    <w:embedBoldItalic r:id="rId3" w:fontKey="{833E1089-C4E8-47CD-8B1E-0B04614E0C1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F2B6C6D-6FBA-4EDC-8C42-F75216C2FE70}"/>
    <w:embedBold r:id="rId5" w:fontKey="{E75711B1-4681-4D31-85FA-8FB64089FB3E}"/>
    <w:embedItalic r:id="rId6" w:fontKey="{55973588-592B-4DD7-BE35-AD16289F8213}"/>
    <w:embedBoldItalic r:id="rId7" w:fontKey="{6F61EA68-8790-458D-B5E3-4439D2F558C1}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  <w:embedRegular r:id="rId8" w:fontKey="{E429551E-61ED-4845-A116-C51819359D2A}"/>
    <w:embedBold r:id="rId9" w:fontKey="{6987F236-12CA-49CC-8DAE-9295EFDF2DB6}"/>
    <w:embedItalic r:id="rId10" w:fontKey="{41ED7BF4-BFC1-4B4B-8A47-333E44F2DAE4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Bold r:id="rId11" w:fontKey="{1DB3B637-61F7-4235-9E2B-6AA9457F9864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12" w:fontKey="{CC4FD69C-DC22-4CA8-A550-3018641FD5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505"/>
    <w:multiLevelType w:val="multilevel"/>
    <w:tmpl w:val="977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8C3"/>
    <w:multiLevelType w:val="multilevel"/>
    <w:tmpl w:val="B99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70E4"/>
    <w:multiLevelType w:val="multilevel"/>
    <w:tmpl w:val="495C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65CF"/>
    <w:multiLevelType w:val="hybridMultilevel"/>
    <w:tmpl w:val="F79A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D3E32"/>
    <w:multiLevelType w:val="multilevel"/>
    <w:tmpl w:val="871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C45BA"/>
    <w:multiLevelType w:val="multilevel"/>
    <w:tmpl w:val="7BD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D421E"/>
    <w:multiLevelType w:val="multilevel"/>
    <w:tmpl w:val="68B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E650C"/>
    <w:multiLevelType w:val="multilevel"/>
    <w:tmpl w:val="9DD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2D"/>
    <w:rsid w:val="0005677E"/>
    <w:rsid w:val="00101162"/>
    <w:rsid w:val="001C0A1D"/>
    <w:rsid w:val="002D402D"/>
    <w:rsid w:val="00315DC0"/>
    <w:rsid w:val="003422D3"/>
    <w:rsid w:val="00347A10"/>
    <w:rsid w:val="00383F22"/>
    <w:rsid w:val="003D66FF"/>
    <w:rsid w:val="00834F70"/>
    <w:rsid w:val="00914480"/>
    <w:rsid w:val="00A100A7"/>
    <w:rsid w:val="00AA298C"/>
    <w:rsid w:val="00AC5DB2"/>
    <w:rsid w:val="00C07A1F"/>
    <w:rsid w:val="00C44D97"/>
    <w:rsid w:val="00D830E8"/>
    <w:rsid w:val="00E8312B"/>
    <w:rsid w:val="00E9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A27E"/>
  <w15:chartTrackingRefBased/>
  <w15:docId w15:val="{D48B9A03-184B-4A5D-B740-B2ECF385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0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02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2D4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40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402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402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347A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A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A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A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A1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10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kaveh-moghimbeig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B3C14-6034-4F47-96B5-D7316853F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Kaveh MOGHIMBEIGI</dc:creator>
  <cp:keywords/>
  <dc:description/>
  <cp:lastModifiedBy>Kaveh MOGHIMBEIGI</cp:lastModifiedBy>
  <cp:revision>5</cp:revision>
  <cp:lastPrinted>2026-06-13T20:44:00Z</cp:lastPrinted>
  <dcterms:created xsi:type="dcterms:W3CDTF">2026-06-13T20:40:00Z</dcterms:created>
  <dcterms:modified xsi:type="dcterms:W3CDTF">2026-06-13T20:46:00Z</dcterms:modified>
</cp:coreProperties>
</file>