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Architecture</w:t>
      </w:r>
    </w:p>
    <w:p w14:paraId="00000003">
      <w:pPr>
        <w:spacing w:after="0"/>
        <w:jc w:val="center"/>
        <w:rPr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2D6D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15 February 2026</w:t>
            </w:r>
          </w:p>
        </w:tc>
      </w:tr>
      <w:tr w14:paraId="1105A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309C8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Weather-Based Prediction of Wind Turbine Energy</w:t>
            </w:r>
          </w:p>
        </w:tc>
      </w:tr>
      <w:tr w14:paraId="6A4F1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rtl w:val="0"/>
        </w:rPr>
        <w:t>Solution Architecture:</w:t>
      </w:r>
    </w:p>
    <w:p w14:paraId="0000000E">
      <w:pPr>
        <w:shd w:val="clear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>Solution architecture is a complex process – with many sub-processes – that bridges the gap between business problems and technology solutions. Its goals are to:</w:t>
      </w:r>
    </w:p>
    <w:p w14:paraId="0000000F">
      <w:pPr>
        <w:numPr>
          <w:ilvl w:val="0"/>
          <w:numId w:val="1"/>
        </w:numPr>
        <w:shd w:val="clear" w:fill="FFFFFF"/>
        <w:spacing w:before="280"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>Find the best tech solution to solve existing business problems.</w:t>
      </w:r>
    </w:p>
    <w:p w14:paraId="00000010">
      <w:pPr>
        <w:numPr>
          <w:ilvl w:val="0"/>
          <w:numId w:val="1"/>
        </w:numPr>
        <w:shd w:val="clear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>Describe the structure, characteristics, behavior, and other aspects of the software to project stakeholders.</w:t>
      </w:r>
    </w:p>
    <w:p w14:paraId="00000011">
      <w:pPr>
        <w:numPr>
          <w:ilvl w:val="0"/>
          <w:numId w:val="1"/>
        </w:numPr>
        <w:shd w:val="clear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>Define features, development phases, and solution requirements.</w:t>
      </w:r>
    </w:p>
    <w:p w14:paraId="00000012">
      <w:pPr>
        <w:numPr>
          <w:ilvl w:val="0"/>
          <w:numId w:val="1"/>
        </w:numPr>
        <w:shd w:val="clear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hAnsi="Arial" w:eastAsia="Arial" w:cs="Arial"/>
          <w:color w:val="000000"/>
          <w:sz w:val="24"/>
          <w:szCs w:val="24"/>
          <w:rtl w:val="0"/>
        </w:rPr>
        <w:t>Provide specifications according to which the solution is defined, managed, and delivered.</w:t>
      </w:r>
    </w:p>
    <w:p w14:paraId="00000013">
      <w:pPr>
        <w:rPr>
          <w:b/>
        </w:rPr>
      </w:pPr>
    </w:p>
    <w:p w14:paraId="00000014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  <w:rtl w:val="0"/>
        </w:rPr>
        <w:t>Example - Solution Architecture Diagram</w:t>
      </w:r>
      <w:r>
        <w:rPr>
          <w:b/>
          <w:rtl w:val="0"/>
        </w:rPr>
        <w:t xml:space="preserve">: </w:t>
      </w:r>
    </w:p>
    <w:p w14:paraId="00000015">
      <w:pPr>
        <w:rPr>
          <w:b/>
        </w:rPr>
      </w:pPr>
    </w:p>
    <w:p w14:paraId="00000016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5"/>
            <wp:effectExtent l="0" t="0" r="0" b="0"/>
            <wp:docPr id="1" name="image1.pn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  <w:rtl w:val="0"/>
        </w:rPr>
        <w:t>Figure 1: Architecture and data flow of the voice patient diary sample application</w:t>
      </w:r>
    </w:p>
    <w:p w14:paraId="00000018">
      <w:pPr>
        <w:rPr>
          <w:b/>
        </w:rPr>
      </w:pPr>
      <w:r>
        <w:rPr>
          <w:b/>
          <w:rtl w:val="0"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b/>
          <w:color w:val="0563C1"/>
          <w:u w:val="single"/>
          <w:rtl w:val="0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  <w:rtl w:val="0"/>
        </w:rPr>
        <w:fldChar w:fldCharType="end"/>
      </w:r>
    </w:p>
    <w:p w14:paraId="00000019">
      <w:pPr>
        <w:rPr>
          <w:b/>
        </w:rPr>
      </w:pPr>
    </w:p>
    <w:p w14:paraId="0000001A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7A75A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2026-02-27T02:31:49Z</dcterms:created>
  <dc:creator>Nithi</dc:creator>
  <cp:lastModifiedBy>Nithin</cp:lastModifiedBy>
  <dcterms:modified xsi:type="dcterms:W3CDTF">2026-02-27T02:32:01Z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51D22A70F0C94884904027BFBB6EEB0D_12</vt:lpwstr>
  </property>
</Properties>
</file>