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18"/>
          <w:szCs w:val="18"/>
        </w:rPr>
        <w:t xml:space="preserve">JUSTICIA ELECTORAL — GABINETE</w:t>
      </w:r>
    </w:p>
    <w:p>
      <w:pPr>
        <w:pStyle w:val="Title"/>
        <w:spacing w:after="60"/>
      </w:pPr>
      <w:r>
        <w:rPr>
          <w:color w:val="1F3B57"/>
        </w:rPr>
        <w:t xml:space="preserve">Resumen ejecutivo comparativo</w:t>
      </w:r>
    </w:p>
    <w:p>
      <w:pPr>
        <w:spacing w:after="40"/>
      </w:pPr>
      <w:r>
        <w:rPr>
          <w:color w:val="1F3B57"/>
          <w:sz w:val="26"/>
          <w:szCs w:val="26"/>
        </w:rPr>
        <w:t xml:space="preserve">Cruce de padrones TSJE — San Pedro de Ycuamandyyú</w:t>
      </w:r>
    </w:p>
    <w:p>
      <w:pPr>
        <w:spacing w:after="260"/>
      </w:pPr>
      <w:r>
        <w:rPr>
          <w:i/>
          <w:iCs/>
          <w:color w:val="595959"/>
          <w:sz w:val="20"/>
          <w:szCs w:val="20"/>
        </w:rPr>
        <w:t xml:space="preserve">Departamento 2 – San Pedro  ·  Distrito 0 – San Pedro del Ycuamandyyú  ·  Corte dic/2025 vs. corte definitivo oct/2026</w:t>
      </w:r>
    </w:p>
    <w:p>
      <w:pPr>
        <w:pBdr>
          <w:bottom w:val="single" w:color="BFBFBF" w:sz="6" w:space="4"/>
        </w:pBdr>
        <w:spacing w:after="200"/>
      </w:pPr>
    </w:p>
    <w:p>
      <w:pPr>
        <w:pStyle w:val="Heading1"/>
        <w:spacing w:after="140" w:before="320"/>
      </w:pPr>
      <w:r>
        <w:rPr>
          <w:color w:val="1F3B57"/>
        </w:rPr>
        <w:t xml:space="preserve">Contexto</w:t>
      </w:r>
    </w:p>
    <w:p>
      <w:pPr>
        <w:spacing w:after="160"/>
      </w:pPr>
      <w:r>
        <w:rPr>
          <w:b w:val="false"/>
          <w:bCs w:val="false"/>
          <w:i w:val="false"/>
          <w:iCs w:val="false"/>
        </w:rPr>
        <w:t xml:space="preserve">Se compararon dos fotos del padrón nacional (RCP2008) contra la misma BASE de julio/2025, para ver cómo evolucionó San Pedro del Ycuamandyyú entre el corte de diciembre/2025 (ya reportado) y el padrón “definitivo” de octubre/2026.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640"/>
      </w:tblGrid>
      <w:tr>
        <w:trPr>
          <w:tblHeader/>
        </w:trPr>
        <w:tc>
          <w:tcPr>
            <w:tcW w:type="dxa" w:w="2200"/>
            <w:shd w:fill="1F3B57" w:val="clear"/>
            <w:tcMar>
              <w:top w:type="dxa" w:w="100"/>
              <w:left w:type="dxa" w:w="120"/>
              <w:bottom w:type="dxa" w:w="100"/>
              <w:right w:type="dxa" w:w="120"/>
            </w:tcMar>
          </w:tcPr>
          <w:p>
            <w:pPr>
              <w:jc w:val="left"/>
            </w:pPr>
            <w:r>
              <w:rPr>
                <w:b/>
                <w:bCs/>
                <w:color w:val="FFFFFF"/>
              </w:rPr>
              <w:t xml:space="preserve">Corte</w:t>
            </w:r>
          </w:p>
        </w:tc>
        <w:tc>
          <w:tcPr>
            <w:tcW w:type="dxa" w:w="4800"/>
            <w:shd w:fill="1F3B57" w:val="clear"/>
            <w:tcMar>
              <w:top w:type="dxa" w:w="100"/>
              <w:left w:type="dxa" w:w="120"/>
              <w:bottom w:type="dxa" w:w="100"/>
              <w:right w:type="dxa" w:w="120"/>
            </w:tcMar>
          </w:tcPr>
          <w:p>
            <w:pPr>
              <w:jc w:val="left"/>
            </w:pPr>
            <w:r>
              <w:rPr>
                <w:b/>
                <w:bCs/>
                <w:color w:val="FFFFFF"/>
              </w:rPr>
              <w:t xml:space="preserve">Fuente</w:t>
            </w:r>
          </w:p>
        </w:tc>
        <w:tc>
          <w:tcPr>
            <w:tcW w:type="dxa" w:w="2640"/>
            <w:shd w:fill="1F3B57" w:val="clear"/>
            <w:tcMar>
              <w:top w:type="dxa" w:w="100"/>
              <w:left w:type="dxa" w:w="120"/>
              <w:bottom w:type="dxa" w:w="100"/>
              <w:right w:type="dxa" w:w="120"/>
            </w:tcMar>
          </w:tcPr>
          <w:p>
            <w:pPr>
              <w:jc w:val="left"/>
            </w:pPr>
            <w:r>
              <w:rPr>
                <w:b/>
                <w:bCs/>
                <w:color w:val="FFFFFF"/>
              </w:rPr>
              <w:t xml:space="preserve">Fecha</w:t>
            </w:r>
          </w:p>
        </w:tc>
      </w:tr>
      <w:tr>
        <w:tc>
          <w:tcPr>
            <w:tcW w:type="dxa" w:w="2200"/>
            <w:tcMar>
              <w:top w:type="dxa" w:w="90"/>
              <w:left w:type="dxa" w:w="120"/>
              <w:bottom w:type="dxa" w:w="90"/>
              <w:right w:type="dxa" w:w="120"/>
            </w:tcMar>
          </w:tcPr>
          <w:p>
            <w:pPr>
              <w:jc w:val="left"/>
            </w:pPr>
            <w:r>
              <w:rPr>
                <w:b w:val="false"/>
                <w:bCs w:val="false"/>
              </w:rPr>
              <w:t xml:space="preserve">BASE</w:t>
            </w:r>
          </w:p>
        </w:tc>
        <w:tc>
          <w:tcPr>
            <w:tcW w:type="dxa" w:w="4800"/>
            <w:tcMar>
              <w:top w:type="dxa" w:w="90"/>
              <w:left w:type="dxa" w:w="120"/>
              <w:bottom w:type="dxa" w:w="90"/>
              <w:right w:type="dxa" w:w="120"/>
            </w:tcMar>
          </w:tcPr>
          <w:p>
            <w:pPr>
              <w:jc w:val="left"/>
            </w:pPr>
            <w:r>
              <w:rPr>
                <w:b w:val="false"/>
                <w:bCs w:val="false"/>
              </w:rPr>
              <w:t xml:space="preserve">20 PDF del TSJE, uno por local/tipo de inscripción</w:t>
            </w:r>
          </w:p>
        </w:tc>
        <w:tc>
          <w:tcPr>
            <w:tcW w:type="dxa" w:w="2640"/>
            <w:tcMar>
              <w:top w:type="dxa" w:w="90"/>
              <w:left w:type="dxa" w:w="120"/>
              <w:bottom w:type="dxa" w:w="90"/>
              <w:right w:type="dxa" w:w="120"/>
            </w:tcMar>
          </w:tcPr>
          <w:p>
            <w:pPr>
              <w:jc w:val="left"/>
            </w:pPr>
            <w:r>
              <w:rPr>
                <w:b w:val="false"/>
                <w:bCs w:val="false"/>
              </w:rPr>
              <w:t xml:space="preserve">31/07/2025</w:t>
            </w:r>
          </w:p>
        </w:tc>
      </w:tr>
      <w:tr>
        <w:tc>
          <w:tcPr>
            <w:tcW w:type="dxa" w:w="2200"/>
            <w:tcMar>
              <w:top w:type="dxa" w:w="90"/>
              <w:left w:type="dxa" w:w="120"/>
              <w:bottom w:type="dxa" w:w="90"/>
              <w:right w:type="dxa" w:w="120"/>
            </w:tcMar>
          </w:tcPr>
          <w:p>
            <w:pPr>
              <w:jc w:val="left"/>
            </w:pPr>
            <w:r>
              <w:rPr>
                <w:b w:val="false"/>
                <w:bCs w:val="false"/>
              </w:rPr>
              <w:t xml:space="preserve">CONTRASTE (anterior)</w:t>
            </w:r>
          </w:p>
        </w:tc>
        <w:tc>
          <w:tcPr>
            <w:tcW w:type="dxa" w:w="4800"/>
            <w:tcMar>
              <w:top w:type="dxa" w:w="90"/>
              <w:left w:type="dxa" w:w="120"/>
              <w:bottom w:type="dxa" w:w="90"/>
              <w:right w:type="dxa" w:w="120"/>
            </w:tcMar>
          </w:tcPr>
          <w:p>
            <w:pPr>
              <w:jc w:val="left"/>
            </w:pPr>
            <w:r>
              <w:rPr>
                <w:b w:val="false"/>
                <w:bCs w:val="false"/>
              </w:rPr>
              <w:t xml:space="preserve">RCP2008 nacional, carpeta “al 2025-12-30”</w:t>
            </w:r>
          </w:p>
        </w:tc>
        <w:tc>
          <w:tcPr>
            <w:tcW w:type="dxa" w:w="2640"/>
            <w:tcMar>
              <w:top w:type="dxa" w:w="90"/>
              <w:left w:type="dxa" w:w="120"/>
              <w:bottom w:type="dxa" w:w="90"/>
              <w:right w:type="dxa" w:w="120"/>
            </w:tcMar>
          </w:tcPr>
          <w:p>
            <w:pPr>
              <w:jc w:val="left"/>
            </w:pPr>
            <w:r>
              <w:rPr>
                <w:b w:val="false"/>
                <w:bCs w:val="false"/>
              </w:rPr>
              <w:t xml:space="preserve">asumida 2025-12-31, no confirmada en los datos</w:t>
            </w:r>
          </w:p>
        </w:tc>
      </w:tr>
      <w:tr>
        <w:tc>
          <w:tcPr>
            <w:tcW w:type="dxa" w:w="2200"/>
            <w:tcMar>
              <w:top w:type="dxa" w:w="90"/>
              <w:left w:type="dxa" w:w="120"/>
              <w:bottom w:type="dxa" w:w="90"/>
              <w:right w:type="dxa" w:w="120"/>
            </w:tcMar>
          </w:tcPr>
          <w:p>
            <w:pPr>
              <w:jc w:val="left"/>
            </w:pPr>
            <w:r>
              <w:rPr>
                <w:b w:val="false"/>
                <w:bCs w:val="false"/>
              </w:rPr>
              <w:t xml:space="preserve">CONTRASTE (definitivo)</w:t>
            </w:r>
          </w:p>
        </w:tc>
        <w:tc>
          <w:tcPr>
            <w:tcW w:type="dxa" w:w="4800"/>
            <w:tcMar>
              <w:top w:type="dxa" w:w="90"/>
              <w:left w:type="dxa" w:w="120"/>
              <w:bottom w:type="dxa" w:w="90"/>
              <w:right w:type="dxa" w:w="120"/>
            </w:tcMar>
          </w:tcPr>
          <w:p>
            <w:pPr>
              <w:jc w:val="left"/>
            </w:pPr>
            <w:r>
              <w:rPr>
                <w:b w:val="false"/>
                <w:bCs w:val="false"/>
              </w:rPr>
              <w:t xml:space="preserve">RCP2008 nacional, “RCP 2026-10-04 Padron.zip”</w:t>
            </w:r>
          </w:p>
        </w:tc>
        <w:tc>
          <w:tcPr>
            <w:tcW w:type="dxa" w:w="2640"/>
            <w:tcMar>
              <w:top w:type="dxa" w:w="90"/>
              <w:left w:type="dxa" w:w="120"/>
              <w:bottom w:type="dxa" w:w="90"/>
              <w:right w:type="dxa" w:w="120"/>
            </w:tcMar>
          </w:tcPr>
          <w:p>
            <w:pPr>
              <w:jc w:val="left"/>
            </w:pPr>
            <w:r>
              <w:rPr>
                <w:b w:val="false"/>
                <w:bCs w:val="false"/>
              </w:rPr>
              <w:t xml:space="preserve">asumida 2026-10-04, no confirmada en los datos</w:t>
            </w:r>
          </w:p>
        </w:tc>
      </w:tr>
    </w:tbl>
    <w:p>
      <w:pPr>
        <w:spacing w:after="160"/>
      </w:pPr>
      <w:r>
        <w:rPr>
          <w:b w:val="false"/>
          <w:bCs w:val="false"/>
          <w:i/>
          <w:iCs/>
          <w:color w:val="595959"/>
        </w:rPr>
        <w:t xml:space="preserve">Ambos archivos CONTRASTE tienen la misma estructura (base Visual FoxPro completa del sistema consregciv.exe, cobertura nacional). El padrón definitivo trae 5 campos nuevos en regciv.dbf (MESA, ORDEN, TIPO_VOTO, EDAD, DES_VOTO) que no existían en el corte anterior; no afectan esta comparación.</w:t>
      </w:r>
    </w:p>
    <w:p>
      <w:pPr>
        <w:pStyle w:val="Heading1"/>
        <w:spacing w:after="140" w:before="320"/>
      </w:pPr>
      <w:r>
        <w:rPr>
          <w:color w:val="1F3B57"/>
        </w:rPr>
        <w:t xml:space="preserve">Total de electores en el distrito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520"/>
        <w:gridCol w:w="3120"/>
      </w:tblGrid>
      <w:tr>
        <w:trPr>
          <w:tblHeader/>
        </w:trPr>
        <w:tc>
          <w:tcPr>
            <w:tcW w:type="dxa" w:w="6520"/>
            <w:shd w:fill="1F3B57" w:val="clear"/>
            <w:tcMar>
              <w:top w:type="dxa" w:w="100"/>
              <w:left w:type="dxa" w:w="120"/>
              <w:bottom w:type="dxa" w:w="100"/>
              <w:right w:type="dxa" w:w="120"/>
            </w:tcMar>
          </w:tcPr>
          <w:p>
            <w:pPr>
              <w:jc w:val="left"/>
            </w:pPr>
            <w:r>
              <w:rPr>
                <w:b/>
                <w:bCs/>
                <w:color w:val="FFFFFF"/>
              </w:rPr>
              <w:t xml:space="preserve">Corte</w:t>
            </w:r>
          </w:p>
        </w:tc>
        <w:tc>
          <w:tcPr>
            <w:tcW w:type="dxa" w:w="3120"/>
            <w:shd w:fill="1F3B57" w:val="clear"/>
            <w:tcMar>
              <w:top w:type="dxa" w:w="100"/>
              <w:left w:type="dxa" w:w="120"/>
              <w:bottom w:type="dxa" w:w="100"/>
              <w:right w:type="dxa" w:w="120"/>
            </w:tcMar>
          </w:tcPr>
          <w:p>
            <w:pPr>
              <w:jc w:val="left"/>
            </w:pPr>
            <w:r>
              <w:rPr>
                <w:b/>
                <w:bCs/>
                <w:color w:val="FFFFFF"/>
              </w:rPr>
              <w:t xml:space="preserve">Total electores</w:t>
            </w:r>
          </w:p>
        </w:tc>
      </w:tr>
      <w:tr>
        <w:tc>
          <w:tcPr>
            <w:tcW w:type="dxa" w:w="6520"/>
            <w:tcMar>
              <w:top w:type="dxa" w:w="90"/>
              <w:left w:type="dxa" w:w="120"/>
              <w:bottom w:type="dxa" w:w="90"/>
              <w:right w:type="dxa" w:w="120"/>
            </w:tcMar>
          </w:tcPr>
          <w:p>
            <w:pPr>
              <w:jc w:val="left"/>
            </w:pPr>
            <w:r>
              <w:rPr>
                <w:b w:val="false"/>
                <w:bCs w:val="false"/>
              </w:rPr>
              <w:t xml:space="preserve">Diciembre 2025</w:t>
            </w:r>
          </w:p>
        </w:tc>
        <w:tc>
          <w:tcPr>
            <w:tcW w:type="dxa" w:w="3120"/>
            <w:tcMar>
              <w:top w:type="dxa" w:w="90"/>
              <w:left w:type="dxa" w:w="120"/>
              <w:bottom w:type="dxa" w:w="90"/>
              <w:right w:type="dxa" w:w="120"/>
            </w:tcMar>
          </w:tcPr>
          <w:p>
            <w:pPr>
              <w:jc w:val="right"/>
            </w:pPr>
            <w:r>
              <w:rPr>
                <w:b w:val="false"/>
                <w:bCs w:val="false"/>
              </w:rPr>
              <w:t xml:space="preserve">26.022</w:t>
            </w:r>
          </w:p>
        </w:tc>
      </w:tr>
      <w:tr>
        <w:tc>
          <w:tcPr>
            <w:tcW w:type="dxa" w:w="6520"/>
            <w:tcMar>
              <w:top w:type="dxa" w:w="90"/>
              <w:left w:type="dxa" w:w="120"/>
              <w:bottom w:type="dxa" w:w="90"/>
              <w:right w:type="dxa" w:w="120"/>
            </w:tcMar>
          </w:tcPr>
          <w:p>
            <w:pPr>
              <w:jc w:val="left"/>
            </w:pPr>
            <w:r>
              <w:rPr>
                <w:b w:val="false"/>
                <w:bCs w:val="false"/>
              </w:rPr>
              <w:t xml:space="preserve">Octubre 2026 (definitivo)</w:t>
            </w:r>
          </w:p>
        </w:tc>
        <w:tc>
          <w:tcPr>
            <w:tcW w:type="dxa" w:w="3120"/>
            <w:tcMar>
              <w:top w:type="dxa" w:w="90"/>
              <w:left w:type="dxa" w:w="120"/>
              <w:bottom w:type="dxa" w:w="90"/>
              <w:right w:type="dxa" w:w="120"/>
            </w:tcMar>
          </w:tcPr>
          <w:p>
            <w:pPr>
              <w:jc w:val="right"/>
            </w:pPr>
            <w:r>
              <w:rPr>
                <w:b w:val="false"/>
                <w:bCs w:val="false"/>
              </w:rPr>
              <w:t xml:space="preserve">25.921</w:t>
            </w:r>
          </w:p>
        </w:tc>
      </w:tr>
      <w:tr>
        <w:tc>
          <w:tcPr>
            <w:tcW w:type="dxa" w:w="6520"/>
            <w:tcMar>
              <w:top w:type="dxa" w:w="90"/>
              <w:left w:type="dxa" w:w="120"/>
              <w:bottom w:type="dxa" w:w="90"/>
              <w:right w:type="dxa" w:w="120"/>
            </w:tcMar>
          </w:tcPr>
          <w:p>
            <w:pPr>
              <w:jc w:val="left"/>
            </w:pPr>
            <w:r>
              <w:rPr>
                <w:b/>
                <w:bCs/>
              </w:rPr>
              <w:t xml:space="preserve">Diferencia</w:t>
            </w:r>
          </w:p>
        </w:tc>
        <w:tc>
          <w:tcPr>
            <w:tcW w:type="dxa" w:w="3120"/>
            <w:tcMar>
              <w:top w:type="dxa" w:w="90"/>
              <w:left w:type="dxa" w:w="120"/>
              <w:bottom w:type="dxa" w:w="90"/>
              <w:right w:type="dxa" w:w="120"/>
            </w:tcMar>
          </w:tcPr>
          <w:p>
            <w:pPr>
              <w:jc w:val="right"/>
            </w:pPr>
            <w:r>
              <w:rPr>
                <w:b/>
                <w:bCs/>
                <w:color w:val="B02A2A"/>
              </w:rPr>
              <w:t xml:space="preserve">-101</w:t>
            </w:r>
          </w:p>
        </w:tc>
      </w:tr>
    </w:tbl>
    <w:p>
      <w:pPr>
        <w:spacing w:after="160"/>
      </w:pPr>
      <w:r>
        <w:rPr>
          <w:b w:val="false"/>
          <w:bCs w:val="false"/>
          <w:i w:val="false"/>
          <w:iCs w:val="false"/>
        </w:rPr>
        <w:t xml:space="preserve">El equipo político había estimado una diferencia de aproximadamente 105 electores; el cálculo exacto a partir del cruce es -101, consistente con esa estimación.</w:t>
      </w:r>
    </w:p>
    <w:p>
      <w:pPr>
        <w:pStyle w:val="Heading1"/>
        <w:spacing w:after="140" w:before="320"/>
      </w:pPr>
      <w:r>
        <w:rPr>
          <w:color w:val="1F3B57"/>
        </w:rPr>
        <w:t xml:space="preserve">Explicación por categoría de migración</w:t>
      </w:r>
    </w:p>
    <w:p>
      <w:pPr>
        <w:spacing w:after="160"/>
      </w:pPr>
      <w:r>
        <w:rPr>
          <w:b w:val="false"/>
          <w:bCs w:val="false"/>
          <w:i w:val="false"/>
          <w:iCs w:val="false"/>
        </w:rPr>
        <w:t xml:space="preserve">Ambos cortes se comparan contra la misma BASE (31/07/2025, 25.822 electores), lo que permite descomponer la diferencia categoría por categoría en vez de reportar solo el número neto.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520"/>
        <w:gridCol w:w="2000"/>
        <w:gridCol w:w="2000"/>
        <w:gridCol w:w="2120"/>
      </w:tblGrid>
      <w:tr>
        <w:trPr>
          <w:tblHeader/>
        </w:trPr>
        <w:tc>
          <w:tcPr>
            <w:tcW w:type="dxa" w:w="3520"/>
            <w:shd w:fill="1F3B57" w:val="clear"/>
            <w:tcMar>
              <w:top w:type="dxa" w:w="100"/>
              <w:left w:type="dxa" w:w="120"/>
              <w:bottom w:type="dxa" w:w="100"/>
              <w:right w:type="dxa" w:w="120"/>
            </w:tcMar>
          </w:tcPr>
          <w:p>
            <w:pPr>
              <w:jc w:val="left"/>
            </w:pPr>
            <w:r>
              <w:rPr>
                <w:b/>
                <w:bCs/>
                <w:color w:val="FFFFFF"/>
              </w:rPr>
              <w:t xml:space="preserve">Categoría</w:t>
            </w:r>
          </w:p>
        </w:tc>
        <w:tc>
          <w:tcPr>
            <w:tcW w:type="dxa" w:w="2000"/>
            <w:shd w:fill="1F3B57" w:val="clear"/>
            <w:tcMar>
              <w:top w:type="dxa" w:w="100"/>
              <w:left w:type="dxa" w:w="120"/>
              <w:bottom w:type="dxa" w:w="100"/>
              <w:right w:type="dxa" w:w="120"/>
            </w:tcMar>
          </w:tcPr>
          <w:p>
            <w:pPr>
              <w:jc w:val="left"/>
            </w:pPr>
            <w:r>
              <w:rPr>
                <w:b/>
                <w:bCs/>
                <w:color w:val="FFFFFF"/>
              </w:rPr>
              <w:t xml:space="preserve">Dic/2025</w:t>
            </w:r>
          </w:p>
        </w:tc>
        <w:tc>
          <w:tcPr>
            <w:tcW w:type="dxa" w:w="2000"/>
            <w:shd w:fill="1F3B57" w:val="clear"/>
            <w:tcMar>
              <w:top w:type="dxa" w:w="100"/>
              <w:left w:type="dxa" w:w="120"/>
              <w:bottom w:type="dxa" w:w="100"/>
              <w:right w:type="dxa" w:w="120"/>
            </w:tcMar>
          </w:tcPr>
          <w:p>
            <w:pPr>
              <w:jc w:val="left"/>
            </w:pPr>
            <w:r>
              <w:rPr>
                <w:b/>
                <w:bCs/>
                <w:color w:val="FFFFFF"/>
              </w:rPr>
              <w:t xml:space="preserve">Oct/2026</w:t>
            </w:r>
          </w:p>
        </w:tc>
        <w:tc>
          <w:tcPr>
            <w:tcW w:type="dxa" w:w="2120"/>
            <w:shd w:fill="1F3B57" w:val="clear"/>
            <w:tcMar>
              <w:top w:type="dxa" w:w="100"/>
              <w:left w:type="dxa" w:w="120"/>
              <w:bottom w:type="dxa" w:w="100"/>
              <w:right w:type="dxa" w:w="120"/>
            </w:tcMar>
          </w:tcPr>
          <w:p>
            <w:pPr>
              <w:jc w:val="left"/>
            </w:pPr>
            <w:r>
              <w:rPr>
                <w:b/>
                <w:bCs/>
                <w:color w:val="FFFFFF"/>
              </w:rPr>
              <w:t xml:space="preserve">Diferencia</w:t>
            </w:r>
          </w:p>
        </w:tc>
      </w:tr>
      <w:tr>
        <w:tc>
          <w:tcPr>
            <w:tcW w:type="dxa" w:w="3520"/>
            <w:tcMar>
              <w:top w:type="dxa" w:w="90"/>
              <w:left w:type="dxa" w:w="120"/>
              <w:bottom w:type="dxa" w:w="90"/>
              <w:right w:type="dxa" w:w="120"/>
            </w:tcMar>
          </w:tcPr>
          <w:p>
            <w:pPr>
              <w:jc w:val="left"/>
            </w:pPr>
            <w:r>
              <w:rPr>
                <w:b w:val="false"/>
                <w:bCs w:val="false"/>
              </w:rPr>
              <w:t xml:space="preserve">Sin cambio</w:t>
            </w:r>
          </w:p>
        </w:tc>
        <w:tc>
          <w:tcPr>
            <w:tcW w:type="dxa" w:w="2000"/>
            <w:tcMar>
              <w:top w:type="dxa" w:w="90"/>
              <w:left w:type="dxa" w:w="120"/>
              <w:bottom w:type="dxa" w:w="90"/>
              <w:right w:type="dxa" w:w="120"/>
            </w:tcMar>
          </w:tcPr>
          <w:p>
            <w:pPr>
              <w:jc w:val="right"/>
            </w:pPr>
            <w:r>
              <w:rPr>
                <w:b w:val="false"/>
                <w:bCs w:val="false"/>
              </w:rPr>
              <w:t xml:space="preserve">25.052</w:t>
            </w:r>
          </w:p>
        </w:tc>
        <w:tc>
          <w:tcPr>
            <w:tcW w:type="dxa" w:w="2000"/>
            <w:tcMar>
              <w:top w:type="dxa" w:w="90"/>
              <w:left w:type="dxa" w:w="120"/>
              <w:bottom w:type="dxa" w:w="90"/>
              <w:right w:type="dxa" w:w="120"/>
            </w:tcMar>
          </w:tcPr>
          <w:p>
            <w:pPr>
              <w:jc w:val="right"/>
            </w:pPr>
            <w:r>
              <w:rPr>
                <w:b w:val="false"/>
                <w:bCs w:val="false"/>
              </w:rPr>
              <w:t xml:space="preserve">24.900</w:t>
            </w:r>
          </w:p>
        </w:tc>
        <w:tc>
          <w:tcPr>
            <w:tcW w:type="dxa" w:w="2120"/>
            <w:tcMar>
              <w:top w:type="dxa" w:w="90"/>
              <w:left w:type="dxa" w:w="120"/>
              <w:bottom w:type="dxa" w:w="90"/>
              <w:right w:type="dxa" w:w="120"/>
            </w:tcMar>
          </w:tcPr>
          <w:p>
            <w:pPr>
              <w:jc w:val="right"/>
            </w:pPr>
            <w:r>
              <w:rPr>
                <w:b w:val="false"/>
                <w:bCs w:val="false"/>
              </w:rPr>
              <w:t xml:space="preserve">-152</w:t>
            </w:r>
          </w:p>
        </w:tc>
      </w:tr>
      <w:tr>
        <w:tc>
          <w:tcPr>
            <w:tcW w:type="dxa" w:w="3520"/>
            <w:tcMar>
              <w:top w:type="dxa" w:w="90"/>
              <w:left w:type="dxa" w:w="120"/>
              <w:bottom w:type="dxa" w:w="90"/>
              <w:right w:type="dxa" w:w="120"/>
            </w:tcMar>
          </w:tcPr>
          <w:p>
            <w:pPr>
              <w:jc w:val="left"/>
            </w:pPr>
            <w:r>
              <w:rPr>
                <w:b w:val="false"/>
                <w:bCs w:val="false"/>
              </w:rPr>
              <w:t xml:space="preserve">Cambio de local intradistrito</w:t>
            </w:r>
          </w:p>
        </w:tc>
        <w:tc>
          <w:tcPr>
            <w:tcW w:type="dxa" w:w="2000"/>
            <w:tcMar>
              <w:top w:type="dxa" w:w="90"/>
              <w:left w:type="dxa" w:w="120"/>
              <w:bottom w:type="dxa" w:w="90"/>
              <w:right w:type="dxa" w:w="120"/>
            </w:tcMar>
          </w:tcPr>
          <w:p>
            <w:pPr>
              <w:jc w:val="right"/>
            </w:pPr>
            <w:r>
              <w:rPr>
                <w:b w:val="false"/>
                <w:bCs w:val="false"/>
              </w:rPr>
              <w:t xml:space="preserve">385</w:t>
            </w:r>
          </w:p>
        </w:tc>
        <w:tc>
          <w:tcPr>
            <w:tcW w:type="dxa" w:w="2000"/>
            <w:tcMar>
              <w:top w:type="dxa" w:w="90"/>
              <w:left w:type="dxa" w:w="120"/>
              <w:bottom w:type="dxa" w:w="90"/>
              <w:right w:type="dxa" w:w="120"/>
            </w:tcMar>
          </w:tcPr>
          <w:p>
            <w:pPr>
              <w:jc w:val="right"/>
            </w:pPr>
            <w:r>
              <w:rPr>
                <w:b w:val="false"/>
                <w:bCs w:val="false"/>
              </w:rPr>
              <w:t xml:space="preserve">385</w:t>
            </w:r>
          </w:p>
        </w:tc>
        <w:tc>
          <w:tcPr>
            <w:tcW w:type="dxa" w:w="2120"/>
            <w:tcMar>
              <w:top w:type="dxa" w:w="90"/>
              <w:left w:type="dxa" w:w="120"/>
              <w:bottom w:type="dxa" w:w="90"/>
              <w:right w:type="dxa" w:w="120"/>
            </w:tcMar>
          </w:tcPr>
          <w:p>
            <w:pPr>
              <w:jc w:val="right"/>
            </w:pPr>
            <w:r>
              <w:rPr>
                <w:b w:val="false"/>
                <w:bCs w:val="false"/>
              </w:rPr>
              <w:t xml:space="preserve">0</w:t>
            </w:r>
          </w:p>
        </w:tc>
      </w:tr>
      <w:tr>
        <w:tc>
          <w:tcPr>
            <w:tcW w:type="dxa" w:w="3520"/>
            <w:tcMar>
              <w:top w:type="dxa" w:w="90"/>
              <w:left w:type="dxa" w:w="120"/>
              <w:bottom w:type="dxa" w:w="90"/>
              <w:right w:type="dxa" w:w="120"/>
            </w:tcMar>
          </w:tcPr>
          <w:p>
            <w:pPr>
              <w:jc w:val="left"/>
            </w:pPr>
            <w:r>
              <w:rPr>
                <w:b w:val="false"/>
                <w:bCs w:val="false"/>
              </w:rPr>
              <w:t xml:space="preserve">Baja del distrito</w:t>
            </w:r>
          </w:p>
        </w:tc>
        <w:tc>
          <w:tcPr>
            <w:tcW w:type="dxa" w:w="2000"/>
            <w:tcMar>
              <w:top w:type="dxa" w:w="90"/>
              <w:left w:type="dxa" w:w="120"/>
              <w:bottom w:type="dxa" w:w="90"/>
              <w:right w:type="dxa" w:w="120"/>
            </w:tcMar>
          </w:tcPr>
          <w:p>
            <w:pPr>
              <w:jc w:val="right"/>
            </w:pPr>
            <w:r>
              <w:rPr>
                <w:b w:val="false"/>
                <w:bCs w:val="false"/>
              </w:rPr>
              <w:t xml:space="preserve">165</w:t>
            </w:r>
          </w:p>
        </w:tc>
        <w:tc>
          <w:tcPr>
            <w:tcW w:type="dxa" w:w="2000"/>
            <w:tcMar>
              <w:top w:type="dxa" w:w="90"/>
              <w:left w:type="dxa" w:w="120"/>
              <w:bottom w:type="dxa" w:w="90"/>
              <w:right w:type="dxa" w:w="120"/>
            </w:tcMar>
          </w:tcPr>
          <w:p>
            <w:pPr>
              <w:jc w:val="right"/>
            </w:pPr>
            <w:r>
              <w:rPr>
                <w:b w:val="false"/>
                <w:bCs w:val="false"/>
              </w:rPr>
              <w:t xml:space="preserve">318</w:t>
            </w:r>
          </w:p>
        </w:tc>
        <w:tc>
          <w:tcPr>
            <w:tcW w:type="dxa" w:w="2120"/>
            <w:tcMar>
              <w:top w:type="dxa" w:w="90"/>
              <w:left w:type="dxa" w:w="120"/>
              <w:bottom w:type="dxa" w:w="90"/>
              <w:right w:type="dxa" w:w="120"/>
            </w:tcMar>
          </w:tcPr>
          <w:p>
            <w:pPr>
              <w:jc w:val="right"/>
            </w:pPr>
            <w:r>
              <w:rPr>
                <w:b/>
                <w:bCs/>
                <w:color w:val="B02A2A"/>
              </w:rPr>
              <w:t xml:space="preserve">+153</w:t>
            </w:r>
          </w:p>
        </w:tc>
      </w:tr>
      <w:tr>
        <w:tc>
          <w:tcPr>
            <w:tcW w:type="dxa" w:w="3520"/>
            <w:tcMar>
              <w:top w:type="dxa" w:w="90"/>
              <w:left w:type="dxa" w:w="120"/>
              <w:bottom w:type="dxa" w:w="90"/>
              <w:right w:type="dxa" w:w="120"/>
            </w:tcMar>
          </w:tcPr>
          <w:p>
            <w:pPr>
              <w:jc w:val="left"/>
            </w:pPr>
            <w:r>
              <w:rPr>
                <w:b w:val="false"/>
                <w:bCs w:val="false"/>
              </w:rPr>
              <w:t xml:space="preserve">Emigración confirmada a otro distrito</w:t>
            </w:r>
          </w:p>
        </w:tc>
        <w:tc>
          <w:tcPr>
            <w:tcW w:type="dxa" w:w="2000"/>
            <w:tcMar>
              <w:top w:type="dxa" w:w="90"/>
              <w:left w:type="dxa" w:w="120"/>
              <w:bottom w:type="dxa" w:w="90"/>
              <w:right w:type="dxa" w:w="120"/>
            </w:tcMar>
          </w:tcPr>
          <w:p>
            <w:pPr>
              <w:jc w:val="right"/>
            </w:pPr>
            <w:r>
              <w:rPr>
                <w:b w:val="false"/>
                <w:bCs w:val="false"/>
              </w:rPr>
              <w:t xml:space="preserve">220</w:t>
            </w:r>
          </w:p>
        </w:tc>
        <w:tc>
          <w:tcPr>
            <w:tcW w:type="dxa" w:w="2000"/>
            <w:tcMar>
              <w:top w:type="dxa" w:w="90"/>
              <w:left w:type="dxa" w:w="120"/>
              <w:bottom w:type="dxa" w:w="90"/>
              <w:right w:type="dxa" w:w="120"/>
            </w:tcMar>
          </w:tcPr>
          <w:p>
            <w:pPr>
              <w:jc w:val="right"/>
            </w:pPr>
            <w:r>
              <w:rPr>
                <w:b w:val="false"/>
                <w:bCs w:val="false"/>
              </w:rPr>
              <w:t xml:space="preserve">219</w:t>
            </w:r>
          </w:p>
        </w:tc>
        <w:tc>
          <w:tcPr>
            <w:tcW w:type="dxa" w:w="2120"/>
            <w:tcMar>
              <w:top w:type="dxa" w:w="90"/>
              <w:left w:type="dxa" w:w="120"/>
              <w:bottom w:type="dxa" w:w="90"/>
              <w:right w:type="dxa" w:w="120"/>
            </w:tcMar>
          </w:tcPr>
          <w:p>
            <w:pPr>
              <w:jc w:val="right"/>
            </w:pPr>
            <w:r>
              <w:rPr>
                <w:b w:val="false"/>
                <w:bCs w:val="false"/>
              </w:rPr>
              <w:t xml:space="preserve">-1</w:t>
            </w:r>
          </w:p>
        </w:tc>
      </w:tr>
      <w:tr>
        <w:tc>
          <w:tcPr>
            <w:tcW w:type="dxa" w:w="3520"/>
            <w:tcMar>
              <w:top w:type="dxa" w:w="90"/>
              <w:left w:type="dxa" w:w="120"/>
              <w:bottom w:type="dxa" w:w="90"/>
              <w:right w:type="dxa" w:w="120"/>
            </w:tcMar>
          </w:tcPr>
          <w:p>
            <w:pPr>
              <w:jc w:val="left"/>
            </w:pPr>
            <w:r>
              <w:rPr>
                <w:b w:val="false"/>
                <w:bCs w:val="false"/>
              </w:rPr>
              <w:t xml:space="preserve">Alta en el distrito</w:t>
            </w:r>
          </w:p>
        </w:tc>
        <w:tc>
          <w:tcPr>
            <w:tcW w:type="dxa" w:w="2000"/>
            <w:tcMar>
              <w:top w:type="dxa" w:w="90"/>
              <w:left w:type="dxa" w:w="120"/>
              <w:bottom w:type="dxa" w:w="90"/>
              <w:right w:type="dxa" w:w="120"/>
            </w:tcMar>
          </w:tcPr>
          <w:p>
            <w:pPr>
              <w:jc w:val="right"/>
            </w:pPr>
            <w:r>
              <w:rPr>
                <w:b w:val="false"/>
                <w:bCs w:val="false"/>
              </w:rPr>
              <w:t xml:space="preserve">585</w:t>
            </w:r>
          </w:p>
        </w:tc>
        <w:tc>
          <w:tcPr>
            <w:tcW w:type="dxa" w:w="2000"/>
            <w:tcMar>
              <w:top w:type="dxa" w:w="90"/>
              <w:left w:type="dxa" w:w="120"/>
              <w:bottom w:type="dxa" w:w="90"/>
              <w:right w:type="dxa" w:w="120"/>
            </w:tcMar>
          </w:tcPr>
          <w:p>
            <w:pPr>
              <w:jc w:val="right"/>
            </w:pPr>
            <w:r>
              <w:rPr>
                <w:b w:val="false"/>
                <w:bCs w:val="false"/>
              </w:rPr>
              <w:t xml:space="preserve">636</w:t>
            </w:r>
          </w:p>
        </w:tc>
        <w:tc>
          <w:tcPr>
            <w:tcW w:type="dxa" w:w="2120"/>
            <w:tcMar>
              <w:top w:type="dxa" w:w="90"/>
              <w:left w:type="dxa" w:w="120"/>
              <w:bottom w:type="dxa" w:w="90"/>
              <w:right w:type="dxa" w:w="120"/>
            </w:tcMar>
          </w:tcPr>
          <w:p>
            <w:pPr>
              <w:jc w:val="right"/>
            </w:pPr>
            <w:r>
              <w:rPr>
                <w:b/>
                <w:bCs/>
                <w:color w:val="1E7B34"/>
              </w:rPr>
              <w:t xml:space="preserve">+51</w:t>
            </w:r>
          </w:p>
        </w:tc>
      </w:tr>
      <w:tr>
        <w:tc>
          <w:tcPr>
            <w:tcW w:type="dxa" w:w="3520"/>
            <w:tcMar>
              <w:top w:type="dxa" w:w="90"/>
              <w:left w:type="dxa" w:w="120"/>
              <w:bottom w:type="dxa" w:w="90"/>
              <w:right w:type="dxa" w:w="120"/>
            </w:tcMar>
          </w:tcPr>
          <w:p>
            <w:pPr>
              <w:jc w:val="left"/>
            </w:pPr>
            <w:r>
              <w:rPr>
                <w:b w:val="false"/>
                <w:bCs w:val="false"/>
              </w:rPr>
              <w:t xml:space="preserve">Duplicados probables</w:t>
            </w:r>
          </w:p>
        </w:tc>
        <w:tc>
          <w:tcPr>
            <w:tcW w:type="dxa" w:w="2000"/>
            <w:tcMar>
              <w:top w:type="dxa" w:w="90"/>
              <w:left w:type="dxa" w:w="120"/>
              <w:bottom w:type="dxa" w:w="90"/>
              <w:right w:type="dxa" w:w="120"/>
            </w:tcMar>
          </w:tcPr>
          <w:p>
            <w:pPr>
              <w:jc w:val="right"/>
            </w:pPr>
            <w:r>
              <w:rPr>
                <w:b w:val="false"/>
                <w:bCs w:val="false"/>
              </w:rPr>
              <w:t xml:space="preserve">124</w:t>
            </w:r>
          </w:p>
        </w:tc>
        <w:tc>
          <w:tcPr>
            <w:tcW w:type="dxa" w:w="2000"/>
            <w:tcMar>
              <w:top w:type="dxa" w:w="90"/>
              <w:left w:type="dxa" w:w="120"/>
              <w:bottom w:type="dxa" w:w="90"/>
              <w:right w:type="dxa" w:w="120"/>
            </w:tcMar>
          </w:tcPr>
          <w:p>
            <w:pPr>
              <w:jc w:val="right"/>
            </w:pPr>
            <w:r>
              <w:rPr>
                <w:b w:val="false"/>
                <w:bCs w:val="false"/>
              </w:rPr>
              <w:t xml:space="preserve">120</w:t>
            </w:r>
          </w:p>
        </w:tc>
        <w:tc>
          <w:tcPr>
            <w:tcW w:type="dxa" w:w="2120"/>
            <w:tcMar>
              <w:top w:type="dxa" w:w="90"/>
              <w:left w:type="dxa" w:w="120"/>
              <w:bottom w:type="dxa" w:w="90"/>
              <w:right w:type="dxa" w:w="120"/>
            </w:tcMar>
          </w:tcPr>
          <w:p>
            <w:pPr>
              <w:jc w:val="right"/>
            </w:pPr>
            <w:r>
              <w:rPr>
                <w:b w:val="false"/>
                <w:bCs w:val="false"/>
              </w:rPr>
              <w:t xml:space="preserve">-4</w:t>
            </w:r>
          </w:p>
        </w:tc>
      </w:tr>
      <w:tr>
        <w:tc>
          <w:tcPr>
            <w:tcW w:type="dxa" w:w="3520"/>
            <w:tcMar>
              <w:top w:type="dxa" w:w="90"/>
              <w:left w:type="dxa" w:w="120"/>
              <w:bottom w:type="dxa" w:w="90"/>
              <w:right w:type="dxa" w:w="120"/>
            </w:tcMar>
          </w:tcPr>
          <w:p>
            <w:pPr>
              <w:jc w:val="left"/>
            </w:pPr>
            <w:r>
              <w:rPr>
                <w:b w:val="false"/>
                <w:bCs w:val="false"/>
              </w:rPr>
              <w:t xml:space="preserve">Cédulas repetidas</w:t>
            </w:r>
          </w:p>
        </w:tc>
        <w:tc>
          <w:tcPr>
            <w:tcW w:type="dxa" w:w="2000"/>
            <w:tcMar>
              <w:top w:type="dxa" w:w="90"/>
              <w:left w:type="dxa" w:w="120"/>
              <w:bottom w:type="dxa" w:w="90"/>
              <w:right w:type="dxa" w:w="120"/>
            </w:tcMar>
          </w:tcPr>
          <w:p>
            <w:pPr>
              <w:jc w:val="right"/>
            </w:pPr>
            <w:r>
              <w:rPr>
                <w:b w:val="false"/>
                <w:bCs w:val="false"/>
              </w:rPr>
              <w:t xml:space="preserve">0</w:t>
            </w:r>
          </w:p>
        </w:tc>
        <w:tc>
          <w:tcPr>
            <w:tcW w:type="dxa" w:w="2000"/>
            <w:tcMar>
              <w:top w:type="dxa" w:w="90"/>
              <w:left w:type="dxa" w:w="120"/>
              <w:bottom w:type="dxa" w:w="90"/>
              <w:right w:type="dxa" w:w="120"/>
            </w:tcMar>
          </w:tcPr>
          <w:p>
            <w:pPr>
              <w:jc w:val="right"/>
            </w:pPr>
            <w:r>
              <w:rPr>
                <w:b w:val="false"/>
                <w:bCs w:val="false"/>
              </w:rPr>
              <w:t xml:space="preserve">0</w:t>
            </w:r>
          </w:p>
        </w:tc>
        <w:tc>
          <w:tcPr>
            <w:tcW w:type="dxa" w:w="2120"/>
            <w:tcMar>
              <w:top w:type="dxa" w:w="90"/>
              <w:left w:type="dxa" w:w="120"/>
              <w:bottom w:type="dxa" w:w="90"/>
              <w:right w:type="dxa" w:w="120"/>
            </w:tcMar>
          </w:tcPr>
          <w:p>
            <w:pPr>
              <w:jc w:val="right"/>
            </w:pPr>
            <w:r>
              <w:rPr>
                <w:b w:val="false"/>
                <w:bCs w:val="false"/>
              </w:rPr>
              <w:t xml:space="preserve">0</w:t>
            </w:r>
          </w:p>
        </w:tc>
      </w:tr>
      <w:tr>
        <w:tc>
          <w:tcPr>
            <w:tcW w:type="dxa" w:w="3520"/>
            <w:tcMar>
              <w:top w:type="dxa" w:w="90"/>
              <w:left w:type="dxa" w:w="120"/>
              <w:bottom w:type="dxa" w:w="90"/>
              <w:right w:type="dxa" w:w="120"/>
            </w:tcMar>
          </w:tcPr>
          <w:p>
            <w:pPr>
              <w:jc w:val="left"/>
            </w:pPr>
            <w:r>
              <w:rPr>
                <w:b w:val="false"/>
                <w:bCs w:val="false"/>
              </w:rPr>
              <w:t xml:space="preserve">Sin clasificar</w:t>
            </w:r>
          </w:p>
        </w:tc>
        <w:tc>
          <w:tcPr>
            <w:tcW w:type="dxa" w:w="2000"/>
            <w:tcMar>
              <w:top w:type="dxa" w:w="90"/>
              <w:left w:type="dxa" w:w="120"/>
              <w:bottom w:type="dxa" w:w="90"/>
              <w:right w:type="dxa" w:w="120"/>
            </w:tcMar>
          </w:tcPr>
          <w:p>
            <w:pPr>
              <w:jc w:val="right"/>
            </w:pPr>
            <w:r>
              <w:rPr>
                <w:b w:val="false"/>
                <w:bCs w:val="false"/>
              </w:rPr>
              <w:t xml:space="preserve">0</w:t>
            </w:r>
          </w:p>
        </w:tc>
        <w:tc>
          <w:tcPr>
            <w:tcW w:type="dxa" w:w="2000"/>
            <w:tcMar>
              <w:top w:type="dxa" w:w="90"/>
              <w:left w:type="dxa" w:w="120"/>
              <w:bottom w:type="dxa" w:w="90"/>
              <w:right w:type="dxa" w:w="120"/>
            </w:tcMar>
          </w:tcPr>
          <w:p>
            <w:pPr>
              <w:jc w:val="right"/>
            </w:pPr>
            <w:r>
              <w:rPr>
                <w:b w:val="false"/>
                <w:bCs w:val="false"/>
              </w:rPr>
              <w:t xml:space="preserve">0</w:t>
            </w:r>
          </w:p>
        </w:tc>
        <w:tc>
          <w:tcPr>
            <w:tcW w:type="dxa" w:w="2120"/>
            <w:tcMar>
              <w:top w:type="dxa" w:w="90"/>
              <w:left w:type="dxa" w:w="120"/>
              <w:bottom w:type="dxa" w:w="90"/>
              <w:right w:type="dxa" w:w="120"/>
            </w:tcMar>
          </w:tcPr>
          <w:p>
            <w:pPr>
              <w:jc w:val="right"/>
            </w:pPr>
            <w:r>
              <w:rPr>
                <w:b w:val="false"/>
                <w:bCs w:val="false"/>
              </w:rPr>
              <w:t xml:space="preserve">0</w:t>
            </w:r>
          </w:p>
        </w:tc>
      </w:tr>
    </w:tbl>
    <w:p>
      <w:pPr>
        <w:spacing w:after="160"/>
      </w:pPr>
      <w:r>
        <w:rPr>
          <w:b/>
          <w:bCs/>
          <w:i w:val="false"/>
          <w:iCs w:val="false"/>
        </w:rPr>
        <w:t xml:space="preserve">La cuenta cierra exacto: -153 (más bajas) + 51 (más altas) + 1 (emigración casi sin cambio) = -101.</w:t>
      </w:r>
    </w:p>
    <w:p>
      <w:pPr>
        <w:pStyle w:val="Heading2"/>
        <w:spacing w:after="100" w:before="240"/>
      </w:pPr>
      <w:r>
        <w:rPr>
          <w:color w:val="1F3B57"/>
        </w:rPr>
        <w:t xml:space="preserve">Causa probable de “Baja del distrito”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520"/>
        <w:gridCol w:w="2000"/>
        <w:gridCol w:w="2000"/>
        <w:gridCol w:w="2120"/>
      </w:tblGrid>
      <w:tr>
        <w:trPr>
          <w:tblHeader/>
        </w:trPr>
        <w:tc>
          <w:tcPr>
            <w:tcW w:type="dxa" w:w="3520"/>
            <w:shd w:fill="1F3B57" w:val="clear"/>
            <w:tcMar>
              <w:top w:type="dxa" w:w="100"/>
              <w:left w:type="dxa" w:w="120"/>
              <w:bottom w:type="dxa" w:w="100"/>
              <w:right w:type="dxa" w:w="120"/>
            </w:tcMar>
          </w:tcPr>
          <w:p>
            <w:pPr>
              <w:jc w:val="left"/>
            </w:pPr>
            <w:r>
              <w:rPr>
                <w:b/>
                <w:bCs/>
                <w:color w:val="FFFFFF"/>
              </w:rPr>
              <w:t xml:space="preserve">Causa probable</w:t>
            </w:r>
          </w:p>
        </w:tc>
        <w:tc>
          <w:tcPr>
            <w:tcW w:type="dxa" w:w="2000"/>
            <w:shd w:fill="1F3B57" w:val="clear"/>
            <w:tcMar>
              <w:top w:type="dxa" w:w="100"/>
              <w:left w:type="dxa" w:w="120"/>
              <w:bottom w:type="dxa" w:w="100"/>
              <w:right w:type="dxa" w:w="120"/>
            </w:tcMar>
          </w:tcPr>
          <w:p>
            <w:pPr>
              <w:jc w:val="left"/>
            </w:pPr>
            <w:r>
              <w:rPr>
                <w:b/>
                <w:bCs/>
                <w:color w:val="FFFFFF"/>
              </w:rPr>
              <w:t xml:space="preserve">Dic/2025</w:t>
            </w:r>
          </w:p>
        </w:tc>
        <w:tc>
          <w:tcPr>
            <w:tcW w:type="dxa" w:w="2000"/>
            <w:shd w:fill="1F3B57" w:val="clear"/>
            <w:tcMar>
              <w:top w:type="dxa" w:w="100"/>
              <w:left w:type="dxa" w:w="120"/>
              <w:bottom w:type="dxa" w:w="100"/>
              <w:right w:type="dxa" w:w="120"/>
            </w:tcMar>
          </w:tcPr>
          <w:p>
            <w:pPr>
              <w:jc w:val="left"/>
            </w:pPr>
            <w:r>
              <w:rPr>
                <w:b/>
                <w:bCs/>
                <w:color w:val="FFFFFF"/>
              </w:rPr>
              <w:t xml:space="preserve">Oct/2026</w:t>
            </w:r>
          </w:p>
        </w:tc>
        <w:tc>
          <w:tcPr>
            <w:tcW w:type="dxa" w:w="2120"/>
            <w:shd w:fill="1F3B57" w:val="clear"/>
            <w:tcMar>
              <w:top w:type="dxa" w:w="100"/>
              <w:left w:type="dxa" w:w="120"/>
              <w:bottom w:type="dxa" w:w="100"/>
              <w:right w:type="dxa" w:w="120"/>
            </w:tcMar>
          </w:tcPr>
          <w:p>
            <w:pPr>
              <w:jc w:val="left"/>
            </w:pPr>
            <w:r>
              <w:rPr>
                <w:b/>
                <w:bCs/>
                <w:color w:val="FFFFFF"/>
              </w:rPr>
              <w:t xml:space="preserve">Diferencia</w:t>
            </w:r>
          </w:p>
        </w:tc>
      </w:tr>
      <w:tr>
        <w:tc>
          <w:tcPr>
            <w:tcW w:type="dxa" w:w="3520"/>
            <w:tcMar>
              <w:top w:type="dxa" w:w="90"/>
              <w:left w:type="dxa" w:w="120"/>
              <w:bottom w:type="dxa" w:w="90"/>
              <w:right w:type="dxa" w:w="120"/>
            </w:tcMar>
          </w:tcPr>
          <w:p>
            <w:pPr>
              <w:jc w:val="left"/>
            </w:pPr>
            <w:r>
              <w:rPr>
                <w:b w:val="false"/>
                <w:bCs w:val="false"/>
              </w:rPr>
              <w:t xml:space="preserve">Fallecido</w:t>
            </w:r>
          </w:p>
        </w:tc>
        <w:tc>
          <w:tcPr>
            <w:tcW w:type="dxa" w:w="2000"/>
            <w:tcMar>
              <w:top w:type="dxa" w:w="90"/>
              <w:left w:type="dxa" w:w="120"/>
              <w:bottom w:type="dxa" w:w="90"/>
              <w:right w:type="dxa" w:w="120"/>
            </w:tcMar>
          </w:tcPr>
          <w:p>
            <w:pPr>
              <w:jc w:val="right"/>
            </w:pPr>
            <w:r>
              <w:rPr>
                <w:b w:val="false"/>
                <w:bCs w:val="false"/>
              </w:rPr>
              <w:t xml:space="preserve">157</w:t>
            </w:r>
          </w:p>
        </w:tc>
        <w:tc>
          <w:tcPr>
            <w:tcW w:type="dxa" w:w="2000"/>
            <w:tcMar>
              <w:top w:type="dxa" w:w="90"/>
              <w:left w:type="dxa" w:w="120"/>
              <w:bottom w:type="dxa" w:w="90"/>
              <w:right w:type="dxa" w:w="120"/>
            </w:tcMar>
          </w:tcPr>
          <w:p>
            <w:pPr>
              <w:jc w:val="right"/>
            </w:pPr>
            <w:r>
              <w:rPr>
                <w:b w:val="false"/>
                <w:bCs w:val="false"/>
              </w:rPr>
              <w:t xml:space="preserve">224</w:t>
            </w:r>
          </w:p>
        </w:tc>
        <w:tc>
          <w:tcPr>
            <w:tcW w:type="dxa" w:w="2120"/>
            <w:tcMar>
              <w:top w:type="dxa" w:w="90"/>
              <w:left w:type="dxa" w:w="120"/>
              <w:bottom w:type="dxa" w:w="90"/>
              <w:right w:type="dxa" w:w="120"/>
            </w:tcMar>
          </w:tcPr>
          <w:p>
            <w:pPr>
              <w:jc w:val="right"/>
            </w:pPr>
            <w:r>
              <w:rPr>
                <w:b w:val="false"/>
                <w:bCs w:val="false"/>
              </w:rPr>
              <w:t xml:space="preserve">+67</w:t>
            </w:r>
          </w:p>
        </w:tc>
      </w:tr>
      <w:tr>
        <w:tc>
          <w:tcPr>
            <w:tcW w:type="dxa" w:w="3520"/>
            <w:tcMar>
              <w:top w:type="dxa" w:w="90"/>
              <w:left w:type="dxa" w:w="120"/>
              <w:bottom w:type="dxa" w:w="90"/>
              <w:right w:type="dxa" w:w="120"/>
            </w:tcMar>
          </w:tcPr>
          <w:p>
            <w:pPr>
              <w:jc w:val="left"/>
            </w:pPr>
            <w:r>
              <w:rPr>
                <w:b w:val="false"/>
                <w:bCs w:val="false"/>
              </w:rPr>
              <w:t xml:space="preserve">Desconocida</w:t>
            </w:r>
          </w:p>
        </w:tc>
        <w:tc>
          <w:tcPr>
            <w:tcW w:type="dxa" w:w="2000"/>
            <w:tcMar>
              <w:top w:type="dxa" w:w="90"/>
              <w:left w:type="dxa" w:w="120"/>
              <w:bottom w:type="dxa" w:w="90"/>
              <w:right w:type="dxa" w:w="120"/>
            </w:tcMar>
          </w:tcPr>
          <w:p>
            <w:pPr>
              <w:jc w:val="right"/>
            </w:pPr>
            <w:r>
              <w:rPr>
                <w:b w:val="false"/>
                <w:bCs w:val="false"/>
              </w:rPr>
              <w:t xml:space="preserve">3</w:t>
            </w:r>
          </w:p>
        </w:tc>
        <w:tc>
          <w:tcPr>
            <w:tcW w:type="dxa" w:w="2000"/>
            <w:tcMar>
              <w:top w:type="dxa" w:w="90"/>
              <w:left w:type="dxa" w:w="120"/>
              <w:bottom w:type="dxa" w:w="90"/>
              <w:right w:type="dxa" w:w="120"/>
            </w:tcMar>
          </w:tcPr>
          <w:p>
            <w:pPr>
              <w:jc w:val="right"/>
            </w:pPr>
            <w:r>
              <w:rPr>
                <w:b w:val="false"/>
                <w:bCs w:val="false"/>
              </w:rPr>
              <w:t xml:space="preserve">87</w:t>
            </w:r>
          </w:p>
        </w:tc>
        <w:tc>
          <w:tcPr>
            <w:tcW w:type="dxa" w:w="2120"/>
            <w:tcMar>
              <w:top w:type="dxa" w:w="90"/>
              <w:left w:type="dxa" w:w="120"/>
              <w:bottom w:type="dxa" w:w="90"/>
              <w:right w:type="dxa" w:w="120"/>
            </w:tcMar>
          </w:tcPr>
          <w:p>
            <w:pPr>
              <w:jc w:val="right"/>
            </w:pPr>
            <w:r>
              <w:rPr>
                <w:b/>
                <w:bCs/>
                <w:color w:val="B02A2A"/>
              </w:rPr>
              <w:t xml:space="preserve">+84</w:t>
            </w:r>
          </w:p>
        </w:tc>
      </w:tr>
      <w:tr>
        <w:tc>
          <w:tcPr>
            <w:tcW w:type="dxa" w:w="3520"/>
            <w:tcMar>
              <w:top w:type="dxa" w:w="90"/>
              <w:left w:type="dxa" w:w="120"/>
              <w:bottom w:type="dxa" w:w="90"/>
              <w:right w:type="dxa" w:w="120"/>
            </w:tcMar>
          </w:tcPr>
          <w:p>
            <w:pPr>
              <w:jc w:val="left"/>
            </w:pPr>
            <w:r>
              <w:rPr>
                <w:b w:val="false"/>
                <w:bCs w:val="false"/>
              </w:rPr>
              <w:t xml:space="preserve">Inhabilitado</w:t>
            </w:r>
          </w:p>
        </w:tc>
        <w:tc>
          <w:tcPr>
            <w:tcW w:type="dxa" w:w="2000"/>
            <w:tcMar>
              <w:top w:type="dxa" w:w="90"/>
              <w:left w:type="dxa" w:w="120"/>
              <w:bottom w:type="dxa" w:w="90"/>
              <w:right w:type="dxa" w:w="120"/>
            </w:tcMar>
          </w:tcPr>
          <w:p>
            <w:pPr>
              <w:jc w:val="right"/>
            </w:pPr>
            <w:r>
              <w:rPr>
                <w:b w:val="false"/>
                <w:bCs w:val="false"/>
              </w:rPr>
              <w:t xml:space="preserve">5</w:t>
            </w:r>
          </w:p>
        </w:tc>
        <w:tc>
          <w:tcPr>
            <w:tcW w:type="dxa" w:w="2000"/>
            <w:tcMar>
              <w:top w:type="dxa" w:w="90"/>
              <w:left w:type="dxa" w:w="120"/>
              <w:bottom w:type="dxa" w:w="90"/>
              <w:right w:type="dxa" w:w="120"/>
            </w:tcMar>
          </w:tcPr>
          <w:p>
            <w:pPr>
              <w:jc w:val="right"/>
            </w:pPr>
            <w:r>
              <w:rPr>
                <w:b w:val="false"/>
                <w:bCs w:val="false"/>
              </w:rPr>
              <w:t xml:space="preserve">7</w:t>
            </w:r>
          </w:p>
        </w:tc>
        <w:tc>
          <w:tcPr>
            <w:tcW w:type="dxa" w:w="2120"/>
            <w:tcMar>
              <w:top w:type="dxa" w:w="90"/>
              <w:left w:type="dxa" w:w="120"/>
              <w:bottom w:type="dxa" w:w="90"/>
              <w:right w:type="dxa" w:w="120"/>
            </w:tcMar>
          </w:tcPr>
          <w:p>
            <w:pPr>
              <w:jc w:val="right"/>
            </w:pPr>
            <w:r>
              <w:rPr>
                <w:b w:val="false"/>
                <w:bCs w:val="false"/>
              </w:rPr>
              <w:t xml:space="preserve">+2</w:t>
            </w:r>
          </w:p>
        </w:tc>
      </w:tr>
    </w:tbl>
    <w:p>
      <w:pPr>
        <w:pStyle w:val="Heading2"/>
        <w:spacing w:after="100" w:before="240"/>
      </w:pPr>
      <w:r>
        <w:rPr>
          <w:color w:val="1F3B57"/>
        </w:rPr>
        <w:t xml:space="preserve">Subcategorías de “Alta en el distrito” (heurística por edad)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520"/>
        <w:gridCol w:w="2000"/>
        <w:gridCol w:w="2000"/>
        <w:gridCol w:w="2120"/>
      </w:tblGrid>
      <w:tr>
        <w:trPr>
          <w:tblHeader/>
        </w:trPr>
        <w:tc>
          <w:tcPr>
            <w:tcW w:type="dxa" w:w="3520"/>
            <w:shd w:fill="1F3B57" w:val="clear"/>
            <w:tcMar>
              <w:top w:type="dxa" w:w="100"/>
              <w:left w:type="dxa" w:w="120"/>
              <w:bottom w:type="dxa" w:w="100"/>
              <w:right w:type="dxa" w:w="120"/>
            </w:tcMar>
          </w:tcPr>
          <w:p>
            <w:pPr>
              <w:jc w:val="left"/>
            </w:pPr>
            <w:r>
              <w:rPr>
                <w:b/>
                <w:bCs/>
                <w:color w:val="FFFFFF"/>
              </w:rPr>
              <w:t xml:space="preserve">Subcategoría</w:t>
            </w:r>
          </w:p>
        </w:tc>
        <w:tc>
          <w:tcPr>
            <w:tcW w:type="dxa" w:w="2000"/>
            <w:shd w:fill="1F3B57" w:val="clear"/>
            <w:tcMar>
              <w:top w:type="dxa" w:w="100"/>
              <w:left w:type="dxa" w:w="120"/>
              <w:bottom w:type="dxa" w:w="100"/>
              <w:right w:type="dxa" w:w="120"/>
            </w:tcMar>
          </w:tcPr>
          <w:p>
            <w:pPr>
              <w:jc w:val="left"/>
            </w:pPr>
            <w:r>
              <w:rPr>
                <w:b/>
                <w:bCs/>
                <w:color w:val="FFFFFF"/>
              </w:rPr>
              <w:t xml:space="preserve">Dic/2025</w:t>
            </w:r>
          </w:p>
        </w:tc>
        <w:tc>
          <w:tcPr>
            <w:tcW w:type="dxa" w:w="2000"/>
            <w:shd w:fill="1F3B57" w:val="clear"/>
            <w:tcMar>
              <w:top w:type="dxa" w:w="100"/>
              <w:left w:type="dxa" w:w="120"/>
              <w:bottom w:type="dxa" w:w="100"/>
              <w:right w:type="dxa" w:w="120"/>
            </w:tcMar>
          </w:tcPr>
          <w:p>
            <w:pPr>
              <w:jc w:val="left"/>
            </w:pPr>
            <w:r>
              <w:rPr>
                <w:b/>
                <w:bCs/>
                <w:color w:val="FFFFFF"/>
              </w:rPr>
              <w:t xml:space="preserve">Oct/2026</w:t>
            </w:r>
          </w:p>
        </w:tc>
        <w:tc>
          <w:tcPr>
            <w:tcW w:type="dxa" w:w="2120"/>
            <w:shd w:fill="1F3B57" w:val="clear"/>
            <w:tcMar>
              <w:top w:type="dxa" w:w="100"/>
              <w:left w:type="dxa" w:w="120"/>
              <w:bottom w:type="dxa" w:w="100"/>
              <w:right w:type="dxa" w:w="120"/>
            </w:tcMar>
          </w:tcPr>
          <w:p>
            <w:pPr>
              <w:jc w:val="left"/>
            </w:pPr>
            <w:r>
              <w:rPr>
                <w:b/>
                <w:bCs/>
                <w:color w:val="FFFFFF"/>
              </w:rPr>
              <w:t xml:space="preserve">Diferencia</w:t>
            </w:r>
          </w:p>
        </w:tc>
      </w:tr>
      <w:tr>
        <w:tc>
          <w:tcPr>
            <w:tcW w:type="dxa" w:w="3520"/>
            <w:tcMar>
              <w:top w:type="dxa" w:w="90"/>
              <w:left w:type="dxa" w:w="120"/>
              <w:bottom w:type="dxa" w:w="90"/>
              <w:right w:type="dxa" w:w="120"/>
            </w:tcMar>
          </w:tcPr>
          <w:p>
            <w:pPr>
              <w:jc w:val="left"/>
            </w:pPr>
            <w:r>
              <w:rPr>
                <w:b w:val="false"/>
                <w:bCs w:val="false"/>
              </w:rPr>
              <w:t xml:space="preserve">Probable alta por 18 años</w:t>
            </w:r>
          </w:p>
        </w:tc>
        <w:tc>
          <w:tcPr>
            <w:tcW w:type="dxa" w:w="2000"/>
            <w:tcMar>
              <w:top w:type="dxa" w:w="90"/>
              <w:left w:type="dxa" w:w="120"/>
              <w:bottom w:type="dxa" w:w="90"/>
              <w:right w:type="dxa" w:w="120"/>
            </w:tcMar>
          </w:tcPr>
          <w:p>
            <w:pPr>
              <w:jc w:val="right"/>
            </w:pPr>
            <w:r>
              <w:rPr>
                <w:b w:val="false"/>
                <w:bCs w:val="false"/>
              </w:rPr>
              <w:t xml:space="preserve">50</w:t>
            </w:r>
          </w:p>
        </w:tc>
        <w:tc>
          <w:tcPr>
            <w:tcW w:type="dxa" w:w="2000"/>
            <w:tcMar>
              <w:top w:type="dxa" w:w="90"/>
              <w:left w:type="dxa" w:w="120"/>
              <w:bottom w:type="dxa" w:w="90"/>
              <w:right w:type="dxa" w:w="120"/>
            </w:tcMar>
          </w:tcPr>
          <w:p>
            <w:pPr>
              <w:jc w:val="right"/>
            </w:pPr>
            <w:r>
              <w:rPr>
                <w:b w:val="false"/>
                <w:bCs w:val="false"/>
              </w:rPr>
              <w:t xml:space="preserve">73</w:t>
            </w:r>
          </w:p>
        </w:tc>
        <w:tc>
          <w:tcPr>
            <w:tcW w:type="dxa" w:w="2120"/>
            <w:tcMar>
              <w:top w:type="dxa" w:w="90"/>
              <w:left w:type="dxa" w:w="120"/>
              <w:bottom w:type="dxa" w:w="90"/>
              <w:right w:type="dxa" w:w="120"/>
            </w:tcMar>
          </w:tcPr>
          <w:p>
            <w:pPr>
              <w:jc w:val="right"/>
            </w:pPr>
            <w:r>
              <w:rPr>
                <w:b w:val="false"/>
                <w:bCs w:val="false"/>
              </w:rPr>
              <w:t xml:space="preserve">+23</w:t>
            </w:r>
          </w:p>
        </w:tc>
      </w:tr>
      <w:tr>
        <w:tc>
          <w:tcPr>
            <w:tcW w:type="dxa" w:w="3520"/>
            <w:tcMar>
              <w:top w:type="dxa" w:w="90"/>
              <w:left w:type="dxa" w:w="120"/>
              <w:bottom w:type="dxa" w:w="90"/>
              <w:right w:type="dxa" w:w="120"/>
            </w:tcMar>
          </w:tcPr>
          <w:p>
            <w:pPr>
              <w:jc w:val="left"/>
            </w:pPr>
            <w:r>
              <w:rPr>
                <w:b w:val="false"/>
                <w:bCs w:val="false"/>
              </w:rPr>
              <w:t xml:space="preserve">Probable transferencia</w:t>
            </w:r>
          </w:p>
        </w:tc>
        <w:tc>
          <w:tcPr>
            <w:tcW w:type="dxa" w:w="2000"/>
            <w:tcMar>
              <w:top w:type="dxa" w:w="90"/>
              <w:left w:type="dxa" w:w="120"/>
              <w:bottom w:type="dxa" w:w="90"/>
              <w:right w:type="dxa" w:w="120"/>
            </w:tcMar>
          </w:tcPr>
          <w:p>
            <w:pPr>
              <w:jc w:val="right"/>
            </w:pPr>
            <w:r>
              <w:rPr>
                <w:b w:val="false"/>
                <w:bCs w:val="false"/>
              </w:rPr>
              <w:t xml:space="preserve">535</w:t>
            </w:r>
          </w:p>
        </w:tc>
        <w:tc>
          <w:tcPr>
            <w:tcW w:type="dxa" w:w="2000"/>
            <w:tcMar>
              <w:top w:type="dxa" w:w="90"/>
              <w:left w:type="dxa" w:w="120"/>
              <w:bottom w:type="dxa" w:w="90"/>
              <w:right w:type="dxa" w:w="120"/>
            </w:tcMar>
          </w:tcPr>
          <w:p>
            <w:pPr>
              <w:jc w:val="right"/>
            </w:pPr>
            <w:r>
              <w:rPr>
                <w:b w:val="false"/>
                <w:bCs w:val="false"/>
              </w:rPr>
              <w:t xml:space="preserve">563</w:t>
            </w:r>
          </w:p>
        </w:tc>
        <w:tc>
          <w:tcPr>
            <w:tcW w:type="dxa" w:w="2120"/>
            <w:tcMar>
              <w:top w:type="dxa" w:w="90"/>
              <w:left w:type="dxa" w:w="120"/>
              <w:bottom w:type="dxa" w:w="90"/>
              <w:right w:type="dxa" w:w="120"/>
            </w:tcMar>
          </w:tcPr>
          <w:p>
            <w:pPr>
              <w:jc w:val="right"/>
            </w:pPr>
            <w:r>
              <w:rPr>
                <w:b w:val="false"/>
                <w:bCs w:val="false"/>
              </w:rPr>
              <w:t xml:space="preserve">+28</w:t>
            </w:r>
          </w:p>
        </w:tc>
      </w:tr>
    </w:tbl>
    <w:p>
      <w:pPr>
        <w:pStyle w:val="Heading1"/>
        <w:spacing w:after="140" w:before="320"/>
      </w:pPr>
      <w:r>
        <w:rPr>
          <w:color w:val="1F3B57"/>
        </w:rPr>
        <w:t xml:space="preserve">Cómo se explica la caída de 101 electores</w:t>
      </w:r>
    </w:p>
    <w:p>
      <w:pPr>
        <w:spacing w:after="160"/>
      </w:pPr>
      <w:r>
        <w:rPr>
          <w:b w:val="false"/>
          <w:bCs w:val="false"/>
          <w:i w:val="false"/>
          <w:iCs w:val="false"/>
        </w:rPr>
        <w:t xml:space="preserve">El motor de la caída es el crecimiento de las bajas del distrito (+153), solo parcialmente compensado por más altas (+51); la emigración a otros distritos se mantuvo prácticamente igual. Dentro de las bajas, los fallecidos confirmados subieron +67 (esperable: pasaron unos 10 meses entre cortes), y las altas subieron por la combinación normal de más cumpleaños de 18 años (+23) y más transferencias entrantes acumuladas (+28).</w:t>
      </w:r>
    </w:p>
    <w:tbl>
      <w:tblPr>
        <w:tblW w:type="dxa" w:w="9640"/>
        <w:tblBorders>
          <w:top w:val="single" w:color="8A6D00" w:sz="4"/>
          <w:left w:val="single" w:color="8A6D00" w:sz="12"/>
          <w:bottom w:val="single" w:color="8A6D00" w:sz="4"/>
          <w:right w:val="single" w:color="8A6D00" w:sz="4"/>
          <w:insideH w:val="single" w:color="auto" w:sz="4"/>
          <w:insideV w:val="single" w:color="auto" w:sz="4"/>
        </w:tblBorders>
      </w:tblPr>
      <w:tblGrid>
        <w:gridCol w:w="9640"/>
      </w:tblGrid>
      <w:tr>
        <w:tc>
          <w:tcPr>
            <w:tcW w:type="dxa" w:w="9640"/>
            <w:shd w:fill="FFF6E5" w:val="clear"/>
            <w:tcMar>
              <w:top w:type="dxa" w:w="160"/>
              <w:left w:type="dxa" w:w="220"/>
              <w:bottom w:type="dxa" w:w="160"/>
              <w:right w:type="dxa" w:w="220"/>
            </w:tcMar>
          </w:tcPr>
          <w:p>
            <w:pPr>
              <w:spacing w:after="80"/>
            </w:pPr>
            <w:r>
              <w:rPr>
                <w:b/>
                <w:bCs/>
                <w:color w:val="B02A2A"/>
              </w:rPr>
              <w:t xml:space="preserve">Punto a seguir: la categoría “baja, causa desconocida” saltó de 3 a 87 casos.</w:t>
            </w:r>
          </w:p>
          <w:p>
            <w:pPr>
              <w:spacing w:after="0"/>
            </w:pPr>
            <w:r>
              <w:rPr>
                <w:b w:val="false"/>
                <w:bCs w:val="false"/>
              </w:rPr>
              <w:t xml:space="preserve">Son personas que ya no aparecen ni en San Pedro Ycuamandyyú, ni en ningún otro distrito del padrón nacional activo, ni en el registro de inhabilitados/fallecidos. No hay evidencia en estos datos para afirmar una causa: es compatible con una depuración administrativa del TSJE de cara al padrón “definitivo” (a diferencia del corte de diciembre, que era una foto de rutina), pero también podría tratarse de fallecidos aún no cargados en inhabilitados.dbf, o bajas por otro motivo administrativo. No se debe presentar como fraude, error ni ninguna causa específica sin evidencia adicional.</w:t>
            </w:r>
          </w:p>
        </w:tc>
      </w:tr>
    </w:tbl>
    <w:p>
      <w:pPr>
        <w:pStyle w:val="Heading1"/>
        <w:spacing w:after="140" w:before="320"/>
      </w:pPr>
      <w:r>
        <w:rPr>
          <w:color w:val="1F3B57"/>
        </w:rPr>
        <w:t xml:space="preserve">Limitaciones documentadas</w:t>
      </w:r>
    </w:p>
    <w:p>
      <w:pPr>
        <w:pStyle w:val="ListParagraph"/>
        <w:numPr>
          <w:ilvl w:val="0"/>
          <w:numId w:val="2"/>
        </w:numPr>
        <w:spacing w:after="90"/>
      </w:pPr>
      <w:r>
        <w:rPr>
          <w:b/>
          <w:bCs/>
        </w:rPr>
        <w:t xml:space="preserve">Fecha de corte real no confirmada en ninguno de los dos cortes:</w:t>
      </w:r>
      <w:r>
        <w:t xml:space="preserve"> </w:t>
      </w:r>
      <w:r>
        <w:t xml:space="preserve">en ninguno de los dos cortes el header interno de regciv.dbf confirma la fecha real de corte de los datos (refleja la fecha de reindexado del sistema). Se usó la fecha del nombre de carpeta/archivo del RCP en cada caso, solo para la heurística de edad de “Alta en el distrito”.</w:t>
      </w:r>
    </w:p>
    <w:p>
      <w:pPr>
        <w:pStyle w:val="ListParagraph"/>
        <w:numPr>
          <w:ilvl w:val="0"/>
          <w:numId w:val="2"/>
        </w:numPr>
        <w:spacing w:after="90"/>
      </w:pPr>
      <w:r>
        <w:rPr>
          <w:b/>
          <w:bCs/>
        </w:rPr>
        <w:t xml:space="preserve">No es un diff directo entre los dos cortes CONTRASTE:</w:t>
      </w:r>
      <w:r>
        <w:t xml:space="preserve"> </w:t>
      </w:r>
      <w:r>
        <w:t xml:space="preserve">esta comparación se arma triangulando ambos cortes contra la misma BASE, no cruzando directamente CONTRASTE-dic2025 contra CONTRASTE-oct2026 persona por persona. Es una explicación por categoría agregada, no una lista nominal de quién pasó de qué categoría a cuál entre ambos cortes.</w:t>
      </w:r>
    </w:p>
    <w:p>
      <w:pPr>
        <w:pStyle w:val="ListParagraph"/>
        <w:numPr>
          <w:ilvl w:val="0"/>
          <w:numId w:val="2"/>
        </w:numPr>
        <w:spacing w:after="90"/>
      </w:pPr>
      <w:r>
        <w:rPr>
          <w:b/>
          <w:bCs/>
        </w:rPr>
        <w:t xml:space="preserve">La subclasificación de “Alta en el distrito” por edad es una heurística probabilística,</w:t>
      </w:r>
      <w:r>
        <w:t xml:space="preserve"> </w:t>
      </w:r>
      <w:r>
        <w:t xml:space="preserve">reflejada en el sufijo “_probable”, nunca afirmada como hecho, en ambos cortes.</w:t>
      </w:r>
    </w:p>
    <w:p>
      <w:pPr>
        <w:pBdr>
          <w:bottom w:val="single" w:color="BFBFBF" w:sz="6" w:space="4"/>
        </w:pBdr>
        <w:spacing w:after="200"/>
      </w:pPr>
    </w:p>
    <w:p>
      <w:pPr>
        <w:spacing w:after="160"/>
      </w:pPr>
      <w:r>
        <w:rPr>
          <w:b w:val="false"/>
          <w:bCs w:val="false"/>
          <w:i/>
          <w:iCs/>
          <w:color w:val="595959"/>
        </w:rPr>
        <w:t xml:space="preserve">Datos completos, desglose por local de votación y trazabilidad fila por fila del corte definitivo: ver output/reportes_definitivo_oct2026/ (CSV por categoría, planillas por local, padrón actual por local y resumen_migracion.xlsx). El corte de diciembre/2025 sigue disponible sin cambios en output/reportes/.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2026-08-04T17:30:05.756Z</dcterms:created>
  <dcterms:modified xsi:type="dcterms:W3CDTF">2026-08-04T17:30:05.757Z</dcterms:modified>
</cp:coreProperties>
</file>

<file path=docProps/custom.xml><?xml version="1.0" encoding="utf-8"?>
<Properties xmlns="http://schemas.openxmlformats.org/officeDocument/2006/custom-properties" xmlns:vt="http://schemas.openxmlformats.org/officeDocument/2006/docPropsVTypes"/>
</file>