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5C99"/>
          <w:sz w:val="72"/>
          <w:szCs w:val="72"/>
        </w:rPr>
        <w:t xml:space="preserve">OncoGuide</w:t>
      </w:r>
    </w:p>
    <w:p>
      <w:pPr>
        <w:spacing w:after="240" w:before="0"/>
        <w:jc w:val="center"/>
      </w:pPr>
      <w:r>
        <w:rPr>
          <w:rFonts w:ascii="Arial" w:cs="Arial" w:eastAsia="Arial" w:hAnsi="Arial"/>
          <w:b w:val="false"/>
          <w:bCs w:val="false"/>
          <w:color w:val="1A7A6E"/>
          <w:sz w:val="36"/>
          <w:szCs w:val="36"/>
        </w:rPr>
        <w:t xml:space="preserve">Agentic AI System — Technical Guide</w:t>
      </w:r>
    </w:p>
    <w:p>
      <w:pPr>
        <w:spacing w:after="720" w:before="0"/>
        <w:jc w:val="center"/>
      </w:pPr>
      <w:r>
        <w:rPr>
          <w:rFonts w:ascii="Arial" w:cs="Arial" w:eastAsia="Arial" w:hAnsi="Arial"/>
          <w:i/>
          <w:iCs/>
          <w:color w:val="555555"/>
          <w:sz w:val="22"/>
          <w:szCs w:val="22"/>
        </w:rPr>
        <w:t xml:space="preserve">"An Open-Source Agentic AI System for Cancer Risk Screening, Evidence-Based Medical Question Answering, and Clinical Trial Matching"</w:t>
      </w:r>
    </w:p>
    <w:p>
      <w:pPr>
        <w:pBdr>
          <w:top w:val="single" w:color="2196F3" w:sz="6"/>
        </w:pBdr>
        <w:spacing w:after="120" w:before="720"/>
        <w:jc w:val="center"/>
      </w:pPr>
      <w:r>
        <w:rPr>
          <w:rFonts w:ascii="Arial" w:cs="Arial" w:eastAsia="Arial" w:hAnsi="Arial"/>
          <w:color w:val="555555"/>
          <w:sz w:val="20"/>
          <w:szCs w:val="20"/>
        </w:rPr>
        <w:t xml:space="preserve">Version 2.0 — Updated Architecture</w:t>
      </w:r>
    </w:p>
    <w:p>
      <w:r>
        <w:rPr>
          <w:rFonts w:ascii="Arial" w:cs="Arial" w:eastAsia="Arial" w:hAnsi="Arial"/>
          <w:sz w:val="20"/>
          <w:szCs w:val="20"/>
        </w:rPr>
        <w:t xml:space="preserve"/>
      </w:r>
    </w:p>
    <w:p>
      <w:pPr>
        <w:pageBreakBefore/>
      </w:pPr>
    </w:p>
    <w:p>
      <w:pPr>
        <w:pStyle w:val="Heading1"/>
      </w:pPr>
      <w:r>
        <w:rPr>
          <w:rFonts w:ascii="Arial" w:cs="Arial" w:eastAsia="Arial" w:hAnsi="Arial"/>
          <w:b/>
          <w:bCs/>
          <w:color w:val="1F5C99"/>
          <w:sz w:val="32"/>
          <w:szCs w:val="32"/>
        </w:rPr>
        <w:t xml:space="preserve">1. Project Overview</w:t>
      </w:r>
    </w:p>
    <w:p>
      <w:pPr>
        <w:pStyle w:val="Heading2"/>
      </w:pPr>
      <w:r>
        <w:rPr>
          <w:rFonts w:ascii="Arial" w:cs="Arial" w:eastAsia="Arial" w:hAnsi="Arial"/>
          <w:b/>
          <w:bCs/>
          <w:color w:val="1A7A6E"/>
          <w:sz w:val="26"/>
          <w:szCs w:val="26"/>
        </w:rPr>
        <w:t xml:space="preserve">1.1 Project Name and Purpose</w:t>
      </w:r>
    </w:p>
    <w:p>
      <w:pPr>
        <w:spacing w:after="80" w:before="80"/>
        <w:jc w:val="left"/>
      </w:pPr>
      <w:r>
        <w:rPr>
          <w:rFonts w:ascii="Arial" w:cs="Arial" w:eastAsia="Arial" w:hAnsi="Arial"/>
          <w:b w:val="false"/>
          <w:bCs w:val="false"/>
          <w:i w:val="false"/>
          <w:iCs w:val="false"/>
          <w:color w:val="2E2E2E"/>
          <w:sz w:val="20"/>
          <w:szCs w:val="20"/>
        </w:rPr>
        <w:t xml:space="preserve">OncoGuide is an open-source agentic artificial intelligence (AI) system designed to assist patients, caregivers, clinicians, and researchers with cancer-related information. It combines structured multi-agent orchestration, retrieval-augmented generation (RAG), safety guardrails, and human oversight to provide safe, evidence-based, and clearly written cancer navigation support.</w:t>
      </w:r>
    </w:p>
    <w:p>
      <w:r>
        <w:rPr>
          <w:rFonts w:ascii="Arial" w:cs="Arial" w:eastAsia="Arial" w:hAnsi="Arial"/>
          <w:sz w:val="20"/>
          <w:szCs w:val="20"/>
        </w:rPr>
        <w:t xml:space="preserve"/>
      </w:r>
    </w:p>
    <w:p>
      <w:pPr>
        <w:spacing w:after="80" w:before="80"/>
        <w:jc w:val="left"/>
      </w:pPr>
      <w:r>
        <w:rPr>
          <w:rFonts w:ascii="Arial" w:cs="Arial" w:eastAsia="Arial" w:hAnsi="Arial"/>
          <w:b w:val="false"/>
          <w:bCs w:val="false"/>
          <w:i/>
          <w:iCs/>
          <w:color w:val="2E2E2E"/>
          <w:sz w:val="20"/>
          <w:szCs w:val="20"/>
        </w:rPr>
        <w:t xml:space="preserve">This system is not intended to replace clinical decision-making. Its role is to provide information support, assist in symptom screening, explain medical reports, and identify possible clinical trials, while always directing users to appropriate medical professionals.</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1.2 Core Objectives</w:t>
      </w:r>
    </w:p>
    <w:p>
      <w:pPr>
        <w:pStyle w:val="ListParagraph"/>
        <w:numPr>
          <w:ilvl w:val="0"/>
          <w:numId w:val="2"/>
        </w:numPr>
        <w:spacing w:after="40" w:before="40"/>
      </w:pPr>
      <w:r>
        <w:rPr>
          <w:rFonts w:ascii="Arial" w:cs="Arial" w:eastAsia="Arial" w:hAnsi="Arial"/>
          <w:color w:val="2E2E2E"/>
          <w:sz w:val="20"/>
          <w:szCs w:val="20"/>
        </w:rPr>
        <w:t xml:space="preserve">Screen users for possible cancer-related risk symptoms through structured questioning.</w:t>
      </w:r>
    </w:p>
    <w:p>
      <w:pPr>
        <w:pStyle w:val="ListParagraph"/>
        <w:numPr>
          <w:ilvl w:val="0"/>
          <w:numId w:val="2"/>
        </w:numPr>
        <w:spacing w:after="40" w:before="40"/>
      </w:pPr>
      <w:r>
        <w:rPr>
          <w:rFonts w:ascii="Arial" w:cs="Arial" w:eastAsia="Arial" w:hAnsi="Arial"/>
          <w:color w:val="2E2E2E"/>
          <w:sz w:val="20"/>
          <w:szCs w:val="20"/>
        </w:rPr>
        <w:t xml:space="preserve">Answer cancer-related questions using evidence retrieved from trusted biomedical sources.</w:t>
      </w:r>
    </w:p>
    <w:p>
      <w:pPr>
        <w:pStyle w:val="ListParagraph"/>
        <w:numPr>
          <w:ilvl w:val="0"/>
          <w:numId w:val="2"/>
        </w:numPr>
        <w:spacing w:after="40" w:before="40"/>
      </w:pPr>
      <w:r>
        <w:rPr>
          <w:rFonts w:ascii="Arial" w:cs="Arial" w:eastAsia="Arial" w:hAnsi="Arial"/>
          <w:color w:val="2E2E2E"/>
          <w:sz w:val="20"/>
          <w:szCs w:val="20"/>
        </w:rPr>
        <w:t xml:space="preserve">Explain uploaded medical reports in clear, simple language.</w:t>
      </w:r>
    </w:p>
    <w:p>
      <w:pPr>
        <w:pStyle w:val="ListParagraph"/>
        <w:numPr>
          <w:ilvl w:val="0"/>
          <w:numId w:val="2"/>
        </w:numPr>
        <w:spacing w:after="40" w:before="40"/>
      </w:pPr>
      <w:r>
        <w:rPr>
          <w:rFonts w:ascii="Arial" w:cs="Arial" w:eastAsia="Arial" w:hAnsi="Arial"/>
          <w:color w:val="2E2E2E"/>
          <w:sz w:val="20"/>
          <w:szCs w:val="20"/>
        </w:rPr>
        <w:t xml:space="preserve">Identify potentially relevant clinical trials based on user-provided clinical information.</w:t>
      </w:r>
    </w:p>
    <w:p>
      <w:pPr>
        <w:pStyle w:val="ListParagraph"/>
        <w:numPr>
          <w:ilvl w:val="0"/>
          <w:numId w:val="2"/>
        </w:numPr>
        <w:spacing w:after="40" w:before="40"/>
      </w:pPr>
      <w:r>
        <w:rPr>
          <w:rFonts w:ascii="Arial" w:cs="Arial" w:eastAsia="Arial" w:hAnsi="Arial"/>
          <w:color w:val="2E2E2E"/>
          <w:sz w:val="20"/>
          <w:szCs w:val="20"/>
        </w:rPr>
        <w:t xml:space="preserve">Minimise hallucination through RAG, multi-layer guardrails, claim verification, and human review.</w:t>
      </w:r>
    </w:p>
    <w:p>
      <w:pPr>
        <w:pStyle w:val="ListParagraph"/>
        <w:numPr>
          <w:ilvl w:val="0"/>
          <w:numId w:val="2"/>
        </w:numPr>
        <w:spacing w:after="40" w:before="40"/>
      </w:pPr>
      <w:r>
        <w:rPr>
          <w:rFonts w:ascii="Arial" w:cs="Arial" w:eastAsia="Arial" w:hAnsi="Arial"/>
          <w:color w:val="2E2E2E"/>
          <w:sz w:val="20"/>
          <w:szCs w:val="20"/>
        </w:rPr>
        <w:t xml:space="preserve">Prepare structured summaries to support doctor-patient communication.</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1.3 Intended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User Group</w:t>
            </w:r>
          </w:p>
        </w:tc>
        <w:tc>
          <w:tcPr>
            <w:tcW w:type="dxa" w:w="648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Primary Use Case</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Patients</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Symptom screening, report explanation, trial identification</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Caregivers</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Understanding diagnoses, identifying support resources</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Doctors and Nurses</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Guideline lookup, literature search, trial navigation</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Hospitals and Clinics</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Patient education, screening support, report assistance</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Researchers</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PubMed, TCGA, ClinVar, cBioPortal, TCIA data access</w:t>
            </w:r>
          </w:p>
        </w:tc>
      </w:tr>
    </w:tbl>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2. System Architecture Overview</w:t>
      </w:r>
    </w:p>
    <w:p>
      <w:pPr>
        <w:spacing w:after="80" w:before="80"/>
        <w:jc w:val="left"/>
      </w:pPr>
      <w:r>
        <w:rPr>
          <w:rFonts w:ascii="Arial" w:cs="Arial" w:eastAsia="Arial" w:hAnsi="Arial"/>
          <w:b w:val="false"/>
          <w:bCs w:val="false"/>
          <w:i w:val="false"/>
          <w:iCs w:val="false"/>
          <w:color w:val="2E2E2E"/>
          <w:sz w:val="20"/>
          <w:szCs w:val="20"/>
        </w:rPr>
        <w:t xml:space="preserve">The OncoGuide architecture follows a layered multi-agent pipeline. Every user query enters through a unified input guardrail, is classified and routed by a supervisor agent, processed by one or more specialised agents, reviewed by reflection and claim verification agents, and finally released through an output guardrail. High-risk or low-confidence outputs are escalated to a human reviewer before delivery.</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2.1 End-to-End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Stage</w:t>
            </w:r>
          </w:p>
        </w:tc>
        <w:tc>
          <w:tcPr>
            <w:tcW w:type="dxa" w:w="72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Component</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1 — Input Safety</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Unified Input Guardrail (PII, Toxicity, Relevance, Emergency Detection)</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2 — Routing</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Supervisor Agent (Intent Classification and Routing)</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3 — Processing</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Specialised Agent Layer (seven agents)</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4 — Tool Access</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MCP Tool Layer (optional, for Manual Tool Agent and ReAct Agent)</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5 — Quality Review</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Reflection Agent (Quality, Completeness, Citation, Safety, Simplicity)</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6 — Fact Checking</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Claim Verification Agent (Claim Extraction, Evidence Matching, Confidence)</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7 — Human Oversight</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Human-in-the-Loop Review Queue (Approve / Edit / Reject)</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8 — Output Safety</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Output Guardrail (Final Safety, PII, Medical Safety)</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9 — Observability</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LangSmith Monitoring (Tracing, Routing, Tool Usage, Latency)</w:t>
            </w:r>
          </w:p>
        </w:tc>
      </w:tr>
    </w:tbl>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2.2 Why Agentic Architecture is Required</w:t>
      </w:r>
    </w:p>
    <w:p>
      <w:pPr>
        <w:spacing w:after="80" w:before="80"/>
        <w:jc w:val="left"/>
      </w:pPr>
      <w:r>
        <w:rPr>
          <w:rFonts w:ascii="Arial" w:cs="Arial" w:eastAsia="Arial" w:hAnsi="Arial"/>
          <w:b w:val="false"/>
          <w:bCs w:val="false"/>
          <w:i w:val="false"/>
          <w:iCs w:val="false"/>
          <w:color w:val="2E2E2E"/>
          <w:sz w:val="20"/>
          <w:szCs w:val="20"/>
        </w:rPr>
        <w:t xml:space="preserve">A standard large language model (LLM) chatbot generates answers from internal model parameters alone, without grounding in verified evidence. Even a basic RAG chatbot retrieves documents but cannot perform multi-step reasoning or coordinate specialised actions. Complex cancer queries require all of the following in a single interaction:</w:t>
      </w:r>
    </w:p>
    <w:p>
      <w:r>
        <w:rPr>
          <w:rFonts w:ascii="Arial" w:cs="Arial" w:eastAsia="Arial" w:hAnsi="Arial"/>
          <w:sz w:val="20"/>
          <w:szCs w:val="20"/>
        </w:rPr>
        <w:t xml:space="preserve"/>
      </w:r>
    </w:p>
    <w:p>
      <w:pPr>
        <w:shd w:fill="D6E4F0" w:val="clear"/>
        <w:spacing w:after="120" w:before="120"/>
        <w:ind w:left="360" w:right="360"/>
        <w:jc w:val="left"/>
      </w:pPr>
      <w:r>
        <w:rPr>
          <w:rFonts w:ascii="Arial" w:cs="Arial" w:eastAsia="Arial" w:hAnsi="Arial"/>
          <w:b w:val="false"/>
          <w:bCs w:val="false"/>
          <w:i/>
          <w:iCs/>
          <w:color w:val="2E2E2E"/>
          <w:sz w:val="20"/>
          <w:szCs w:val="20"/>
        </w:rPr>
        <w:t xml:space="preserve">Example: "My mother has HER2-positive breast cancer. Are there clinical trials available?" — This requires cancer type identification, biomarker understanding, knowledge retrieval, trial database search, eligibility filtering, simple-language explanation, safety warning generation, citation verification, and possibly human review.</w:t>
      </w:r>
    </w:p>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An agentic architecture addresses this by distributing work across specialised agents, each with defined responsibilities, tools, and safety checks.</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3. Unified Input Guardrail</w:t>
      </w:r>
    </w:p>
    <w:p>
      <w:pPr>
        <w:spacing w:after="80" w:before="80"/>
        <w:jc w:val="left"/>
      </w:pPr>
      <w:r>
        <w:rPr>
          <w:rFonts w:ascii="Arial" w:cs="Arial" w:eastAsia="Arial" w:hAnsi="Arial"/>
          <w:b w:val="false"/>
          <w:bCs w:val="false"/>
          <w:i w:val="false"/>
          <w:iCs w:val="false"/>
          <w:color w:val="2E2E2E"/>
          <w:sz w:val="20"/>
          <w:szCs w:val="20"/>
        </w:rPr>
        <w:t xml:space="preserve">The Unified Input Guardrail is the first processing layer in the system. All user queries pass through this component before reaching any agent. Its purpose is to detect safety-critical signals early and prevent unsafe, irrelevant, or private inputs from entering the pipeline.</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3.1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Check</w:t>
            </w:r>
          </w:p>
        </w:tc>
        <w:tc>
          <w:tcPr>
            <w:tcW w:type="dxa" w:w="69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PII Detection</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Identifies personal identifiers such as names, phone numbers, addresses, and patient IDs. Removes or flags before downstream processing.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Toxicity Filtering</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Detects harmful, abusive, or inappropriate content and blocks the query.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Relevance Check</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Determines whether the query is within the system scope (cancer-related medical information). Off-topic queries are redirected with an explanation.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Emergency Detection</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Identifies red-flag symptoms such as vomiting blood, acute chest pain, severe breathing difficulty, or sudden neurological changes. Triggers an immediate emergency response without entering the normal pipeline.</w:t>
            </w:r>
          </w:p>
        </w:tc>
      </w:tr>
    </w:tbl>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3.2 Emergency Response Example</w:t>
      </w:r>
    </w:p>
    <w:p>
      <w:pPr>
        <w:shd w:fill="FFF0DC" w:val="clear"/>
        <w:spacing w:after="120" w:before="120"/>
        <w:ind w:left="360" w:right="360"/>
        <w:jc w:val="left"/>
      </w:pPr>
      <w:r>
        <w:rPr>
          <w:rFonts w:ascii="Arial" w:cs="Arial" w:eastAsia="Arial" w:hAnsi="Arial"/>
          <w:b w:val="false"/>
          <w:bCs w:val="false"/>
          <w:i/>
          <w:iCs/>
          <w:color w:val="2E2E2E"/>
          <w:sz w:val="20"/>
          <w:szCs w:val="20"/>
        </w:rPr>
        <w:t xml:space="preserve">User: "I am vomiting blood. What should I do?" — The system immediately responds: "Vomiting blood may indicate a serious medical emergency. Please contact emergency medical services or go to the nearest emergency department immediately." The query does not proceed to the supervisor or any other agent.</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4. Supervisor Agent</w:t>
      </w:r>
    </w:p>
    <w:p>
      <w:pPr>
        <w:spacing w:after="80" w:before="80"/>
        <w:jc w:val="left"/>
      </w:pPr>
      <w:r>
        <w:rPr>
          <w:rFonts w:ascii="Arial" w:cs="Arial" w:eastAsia="Arial" w:hAnsi="Arial"/>
          <w:b w:val="false"/>
          <w:bCs w:val="false"/>
          <w:i w:val="false"/>
          <w:iCs w:val="false"/>
          <w:color w:val="2E2E2E"/>
          <w:sz w:val="20"/>
          <w:szCs w:val="20"/>
        </w:rPr>
        <w:t xml:space="preserve">The Supervisor Agent performs intent classification and routes each query to the appropriate specialised agent or combination of agents. It acts as the central orchestrator of the pipeline and controls workflow branching, risk assessment, and escalation decisions.</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4.1 Routing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User Query Pattern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Routed To</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"I have blood in stool and weight loss"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Screening Agent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"Explain my biopsy report"</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Report Explanation Agent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"Find clinical trials for EGFR lung cancer"</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Clinical Trial Agent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"What is stage 3 breast cancer?"</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Agentic RAG Agent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"Search recent EGFR papers and summarise"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ReAct Agent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"Use PubMed and ClinicalTrials.gov"</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Manual Tool Agent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"What is cancer?"</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General Chat Agent</w:t>
            </w:r>
          </w:p>
        </w:tc>
      </w:tr>
    </w:tbl>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4.2 Supervisor Responsibilities</w:t>
      </w:r>
    </w:p>
    <w:p>
      <w:pPr>
        <w:pStyle w:val="ListParagraph"/>
        <w:numPr>
          <w:ilvl w:val="0"/>
          <w:numId w:val="2"/>
        </w:numPr>
        <w:spacing w:after="40" w:before="40"/>
      </w:pPr>
      <w:r>
        <w:rPr>
          <w:rFonts w:ascii="Arial" w:cs="Arial" w:eastAsia="Arial" w:hAnsi="Arial"/>
          <w:color w:val="2E2E2E"/>
          <w:sz w:val="20"/>
          <w:szCs w:val="20"/>
        </w:rPr>
        <w:t xml:space="preserve">Read and classify user intent into one or more categories.</w:t>
      </w:r>
    </w:p>
    <w:p>
      <w:pPr>
        <w:pStyle w:val="ListParagraph"/>
        <w:numPr>
          <w:ilvl w:val="0"/>
          <w:numId w:val="2"/>
        </w:numPr>
        <w:spacing w:after="40" w:before="40"/>
      </w:pPr>
      <w:r>
        <w:rPr>
          <w:rFonts w:ascii="Arial" w:cs="Arial" w:eastAsia="Arial" w:hAnsi="Arial"/>
          <w:color w:val="2E2E2E"/>
          <w:sz w:val="20"/>
          <w:szCs w:val="20"/>
        </w:rPr>
        <w:t xml:space="preserve">Select the most appropriate specialised agent or agent sequence.</w:t>
      </w:r>
    </w:p>
    <w:p>
      <w:pPr>
        <w:pStyle w:val="ListParagraph"/>
        <w:numPr>
          <w:ilvl w:val="0"/>
          <w:numId w:val="2"/>
        </w:numPr>
        <w:spacing w:after="40" w:before="40"/>
      </w:pPr>
      <w:r>
        <w:rPr>
          <w:rFonts w:ascii="Arial" w:cs="Arial" w:eastAsia="Arial" w:hAnsi="Arial"/>
          <w:color w:val="2E2E2E"/>
          <w:sz w:val="20"/>
          <w:szCs w:val="20"/>
        </w:rPr>
        <w:t xml:space="preserve">Assign an initial risk level (low, medium, or high) to guide downstream decisions.</w:t>
      </w:r>
    </w:p>
    <w:p>
      <w:pPr>
        <w:pStyle w:val="ListParagraph"/>
        <w:numPr>
          <w:ilvl w:val="0"/>
          <w:numId w:val="2"/>
        </w:numPr>
        <w:spacing w:after="40" w:before="40"/>
      </w:pPr>
      <w:r>
        <w:rPr>
          <w:rFonts w:ascii="Arial" w:cs="Arial" w:eastAsia="Arial" w:hAnsi="Arial"/>
          <w:color w:val="2E2E2E"/>
          <w:sz w:val="20"/>
          <w:szCs w:val="20"/>
        </w:rPr>
        <w:t xml:space="preserve">Trigger human-review escalation for high-risk cases.</w:t>
      </w:r>
    </w:p>
    <w:p>
      <w:pPr>
        <w:pStyle w:val="ListParagraph"/>
        <w:numPr>
          <w:ilvl w:val="0"/>
          <w:numId w:val="2"/>
        </w:numPr>
        <w:spacing w:after="40" w:before="40"/>
      </w:pPr>
      <w:r>
        <w:rPr>
          <w:rFonts w:ascii="Arial" w:cs="Arial" w:eastAsia="Arial" w:hAnsi="Arial"/>
          <w:color w:val="2E2E2E"/>
          <w:sz w:val="20"/>
          <w:szCs w:val="20"/>
        </w:rPr>
        <w:t xml:space="preserve">Prevent unnecessary agent calls to reduce latency and cost.</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5. Specialised Agent Layer</w:t>
      </w:r>
    </w:p>
    <w:p>
      <w:pPr>
        <w:spacing w:after="80" w:before="80"/>
        <w:jc w:val="left"/>
      </w:pPr>
      <w:r>
        <w:rPr>
          <w:rFonts w:ascii="Arial" w:cs="Arial" w:eastAsia="Arial" w:hAnsi="Arial"/>
          <w:b w:val="false"/>
          <w:bCs w:val="false"/>
          <w:i w:val="false"/>
          <w:iCs w:val="false"/>
          <w:color w:val="2E2E2E"/>
          <w:sz w:val="20"/>
          <w:szCs w:val="20"/>
        </w:rPr>
        <w:t xml:space="preserve">The supervisor routes queries to one of seven specialised agents. Each agent is responsible for a defined task domain, uses a specific set of tools, and produces output that is passed to the reflection and verification stages.</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5.1 Screening Agent</w:t>
      </w:r>
    </w:p>
    <w:p>
      <w:pPr>
        <w:spacing w:after="80" w:before="80"/>
        <w:jc w:val="left"/>
      </w:pPr>
      <w:r>
        <w:rPr>
          <w:rFonts w:ascii="Arial" w:cs="Arial" w:eastAsia="Arial" w:hAnsi="Arial"/>
          <w:b w:val="false"/>
          <w:bCs w:val="false"/>
          <w:i w:val="false"/>
          <w:iCs w:val="false"/>
          <w:color w:val="2E2E2E"/>
          <w:sz w:val="20"/>
          <w:szCs w:val="20"/>
        </w:rPr>
        <w:t xml:space="preserve">The Screening Agent handles symptom-based queries. It collects structured symptom information through follow-up questions, identifies red-flag symptoms, assigns a risk level, and provides safe next-step guidance. It does not provide a diagnosis.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Risk Level</w:t>
            </w:r>
          </w:p>
        </w:tc>
        <w:tc>
          <w:tcPr>
            <w:tcW w:type="dxa" w:w="72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Meaning / Action</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Green</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Low-risk general question. Provide education.</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Yellow</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Non-urgent concern. Recommend scheduling a doctor appointment.</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Orange</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Moderate concern. Recommend prompt medical evaluation.</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Red</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Possible emergency or red flag. Recommend urgent or emergency care.</w:t>
            </w:r>
          </w:p>
        </w:tc>
      </w:tr>
    </w:tbl>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Key tools: Symptom Checklist Tool, Red-Flag Detection Tool, Risk Scoring Tool, Family History Checker, Screening Guideline Lookup, Doctor Summary Generator, Emergency Escalation Tool.</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5.2 Agentic RAG Agent</w:t>
      </w:r>
    </w:p>
    <w:p>
      <w:pPr>
        <w:spacing w:after="80" w:before="80"/>
        <w:jc w:val="left"/>
      </w:pPr>
      <w:r>
        <w:rPr>
          <w:rFonts w:ascii="Arial" w:cs="Arial" w:eastAsia="Arial" w:hAnsi="Arial"/>
          <w:b w:val="false"/>
          <w:bCs w:val="false"/>
          <w:i w:val="false"/>
          <w:iCs w:val="false"/>
          <w:color w:val="2E2E2E"/>
          <w:sz w:val="20"/>
          <w:szCs w:val="20"/>
        </w:rPr>
        <w:t xml:space="preserve">The Agentic RAG Agent answers evidence-based medical knowledge questions using a multi-step hybrid retrieval pipeline. It retrieves content from trusted biomedical sources, ranks and fuses evidence, and generates answers with citations.</w:t>
      </w:r>
    </w:p>
    <w:p>
      <w:r>
        <w:rPr>
          <w:rFonts w:ascii="Arial" w:cs="Arial" w:eastAsia="Arial" w:hAnsi="Arial"/>
          <w:sz w:val="20"/>
          <w:szCs w:val="20"/>
        </w:rPr>
        <w:t xml:space="preserve"/>
      </w:r>
    </w:p>
    <w:p>
      <w:pPr>
        <w:pStyle w:val="Heading3"/>
      </w:pPr>
      <w:r>
        <w:rPr>
          <w:rFonts w:ascii="Arial" w:cs="Arial" w:eastAsia="Arial" w:hAnsi="Arial"/>
          <w:b/>
          <w:bCs/>
          <w:color w:val="5B2C8D"/>
          <w:sz w:val="22"/>
          <w:szCs w:val="22"/>
        </w:rPr>
        <w:t xml:space="preserve">5.2.1 Hybrid RAG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Step</w:t>
            </w:r>
          </w:p>
        </w:tc>
        <w:tc>
          <w:tcPr>
            <w:tcW w:type="dxa" w:w="684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Description</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Query Rewrite</w:t>
            </w:r>
          </w:p>
        </w:tc>
        <w:tc>
          <w:tcPr>
            <w:tcW w:type="dxa" w:w="68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Converts colloquial user language into structured medical search queries.</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Query Classification</w:t>
            </w:r>
          </w:p>
        </w:tc>
        <w:tc>
          <w:tcPr>
            <w:tcW w:type="dxa" w:w="68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Identifies the query type (screening, treatment, trial, research) to select the appropriate retrieval strategy.</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Vector Retrieval</w:t>
            </w:r>
          </w:p>
        </w:tc>
        <w:tc>
          <w:tcPr>
            <w:tcW w:type="dxa" w:w="68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Searches semantically similar documents using dense embeddings (e.g., BGE-M3, PubMedBERT).</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BM25 Retrieval</w:t>
            </w:r>
          </w:p>
        </w:tc>
        <w:tc>
          <w:tcPr>
            <w:tcW w:type="dxa" w:w="68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Searches for exact medical terms such as gene names, drug names, and staging classifications.</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RRF Fusion</w:t>
            </w:r>
          </w:p>
        </w:tc>
        <w:tc>
          <w:tcPr>
            <w:tcW w:type="dxa" w:w="68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Combines vector and BM25 results using Reciprocal Rank Fusion to improve recall and precision.</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Cross-Encoder Re-ranking</w:t>
            </w:r>
          </w:p>
        </w:tc>
        <w:tc>
          <w:tcPr>
            <w:tcW w:type="dxa" w:w="68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Applies a cross-encoder model to re-score and re-rank fused results for relevance.</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Context Assembly</w:t>
            </w:r>
          </w:p>
        </w:tc>
        <w:tc>
          <w:tcPr>
            <w:tcW w:type="dxa" w:w="68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Selects the highest-ranked documents and assembles the retrieval context for generation.</w:t>
            </w:r>
          </w:p>
        </w:tc>
      </w:tr>
    </w:tbl>
    <w:p>
      <w:r>
        <w:rPr>
          <w:rFonts w:ascii="Arial" w:cs="Arial" w:eastAsia="Arial" w:hAnsi="Arial"/>
          <w:sz w:val="20"/>
          <w:szCs w:val="20"/>
        </w:rPr>
        <w:t xml:space="preserve"/>
      </w:r>
    </w:p>
    <w:p>
      <w:pPr>
        <w:pStyle w:val="Heading3"/>
      </w:pPr>
      <w:r>
        <w:rPr>
          <w:rFonts w:ascii="Arial" w:cs="Arial" w:eastAsia="Arial" w:hAnsi="Arial"/>
          <w:b/>
          <w:bCs/>
          <w:color w:val="5B2C8D"/>
          <w:sz w:val="22"/>
          <w:szCs w:val="22"/>
        </w:rPr>
        <w:t xml:space="preserve">5.2.2 Trusted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Source</w:t>
            </w:r>
          </w:p>
        </w:tc>
        <w:tc>
          <w:tcPr>
            <w:tcW w:type="dxa" w:w="69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Primary Use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NCI PDQ</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Cancer treatment summaries, screening guidelines, patient information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PubMed</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Biomedical research abstracts and clinical studies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PubMed Central (PMC)</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Open-access full-text biomedical papers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ClinicalTrials.gov</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Clinical trial descriptions, eligibility criteria, and status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ClinVar</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Genetic variant classification and disease associations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CIViC</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Cancer biomarker and variant interpretation 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GDC / TCGA</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Cancer genomics datasets and clinical metadata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TCIA</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Cancer imaging datasets (CT, MRI, pathology)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cBioPortal</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Cancer genomics visualisation, mutation frequency, survival analysis</w:t>
            </w:r>
          </w:p>
        </w:tc>
      </w:tr>
    </w:tbl>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5.3 Clinical Trial Agent</w:t>
      </w:r>
    </w:p>
    <w:p>
      <w:pPr>
        <w:spacing w:after="80" w:before="80"/>
        <w:jc w:val="left"/>
      </w:pPr>
      <w:r>
        <w:rPr>
          <w:rFonts w:ascii="Arial" w:cs="Arial" w:eastAsia="Arial" w:hAnsi="Arial"/>
          <w:b w:val="false"/>
          <w:bCs w:val="false"/>
          <w:i w:val="false"/>
          <w:iCs w:val="false"/>
          <w:color w:val="2E2E2E"/>
          <w:sz w:val="20"/>
          <w:szCs w:val="20"/>
        </w:rPr>
        <w:t xml:space="preserve">The Clinical Trial Agent searches for relevant clinical trials based on the user's cancer type, mutation status, treatment history, location, and eligibility criteria. It summarises matching trials and clearly states that eligibility confirmation must come from trial coordinators.</w:t>
      </w:r>
    </w:p>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Key tools: ClinicalTrials.gov API Tool, Eligibility Parser, Location Filter, Trial Status Filter, Cancer Type Matcher, Mutation Matcher (EGFR, HER2, BRCA, PD-L1), Trial Summariser, Trial Coordinator Handoff Tool.</w:t>
      </w:r>
    </w:p>
    <w:p>
      <w:r>
        <w:rPr>
          <w:rFonts w:ascii="Arial" w:cs="Arial" w:eastAsia="Arial" w:hAnsi="Arial"/>
          <w:sz w:val="20"/>
          <w:szCs w:val="20"/>
        </w:rPr>
        <w:t xml:space="preserve"/>
      </w:r>
    </w:p>
    <w:p>
      <w:pPr>
        <w:shd w:fill="D8EFE1" w:val="clear"/>
        <w:spacing w:after="120" w:before="120"/>
        <w:ind w:left="360" w:right="360"/>
        <w:jc w:val="left"/>
      </w:pPr>
      <w:r>
        <w:rPr>
          <w:rFonts w:ascii="Arial" w:cs="Arial" w:eastAsia="Arial" w:hAnsi="Arial"/>
          <w:b w:val="false"/>
          <w:bCs w:val="false"/>
          <w:i/>
          <w:iCs/>
          <w:color w:val="2E2E2E"/>
          <w:sz w:val="20"/>
          <w:szCs w:val="20"/>
        </w:rPr>
        <w:t xml:space="preserve">Safety Rule: The agent must not state that a user is eligible for a trial. It must use language such as "possibly relevant" or "may match" and always refer eligibility determination to clinical staff.</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5.4 Report Explanation Agent</w:t>
      </w:r>
    </w:p>
    <w:p>
      <w:pPr>
        <w:spacing w:after="80" w:before="80"/>
        <w:jc w:val="left"/>
      </w:pPr>
      <w:r>
        <w:rPr>
          <w:rFonts w:ascii="Arial" w:cs="Arial" w:eastAsia="Arial" w:hAnsi="Arial"/>
          <w:b w:val="false"/>
          <w:bCs w:val="false"/>
          <w:i w:val="false"/>
          <w:iCs w:val="false"/>
          <w:color w:val="2E2E2E"/>
          <w:sz w:val="20"/>
          <w:szCs w:val="20"/>
        </w:rPr>
        <w:t xml:space="preserve">The Report Explanation Agent reads uploaded medical documents, extracts key clinical findings, explains medical terminology in simple language, and generates questions the user may wish to raise at their next clinical appointment. It does not provide a final clinical interpretation or diagnosis.</w:t>
      </w:r>
    </w:p>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Accepted document types: biopsy reports, pathology reports, CT scan reports, MRI reports, blood test results, genomic sequencing reports.</w:t>
      </w:r>
    </w:p>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Key tools: PDF Parser, OCR Tool (for scanned documents), Medical Term Extractor, Lab Value Parser, Imaging Report Parser, Genomic Variant Parser, Simple-Language Explainer, Doctor Question Generator.</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5.5 Manual Tool Agent</w:t>
      </w:r>
    </w:p>
    <w:p>
      <w:pPr>
        <w:spacing w:after="80" w:before="80"/>
        <w:jc w:val="left"/>
      </w:pPr>
      <w:r>
        <w:rPr>
          <w:rFonts w:ascii="Arial" w:cs="Arial" w:eastAsia="Arial" w:hAnsi="Arial"/>
          <w:b w:val="false"/>
          <w:bCs w:val="false"/>
          <w:i w:val="false"/>
          <w:iCs w:val="false"/>
          <w:color w:val="2E2E2E"/>
          <w:sz w:val="20"/>
          <w:szCs w:val="20"/>
        </w:rPr>
        <w:t xml:space="preserve">The Manual Tool Agent calls external APIs and databases using predefined, deterministic rules. It is more constrained than the ReAct Agent and is preferred for tasks where reproducibility and auditability are important, such as structured literature searches or guideline lookups.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Trigger Condition</w:t>
            </w:r>
          </w:p>
        </w:tc>
        <w:tc>
          <w:tcPr>
            <w:tcW w:type="dxa" w:w="612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Action</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Query contains "clinical trial"</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Call ClinicalTrials.gov API</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Query contains "mutation" or "variant"</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Call ClinVar and CIViC APIs</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Query contains "biopsy report"</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Call report parser tool</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Query contains "research paper"</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Call PubMed API</w:t>
            </w:r>
          </w:p>
        </w:tc>
      </w:tr>
    </w:tbl>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5.6 ReAct Agent</w:t>
      </w:r>
    </w:p>
    <w:p>
      <w:pPr>
        <w:spacing w:after="80" w:before="80"/>
        <w:jc w:val="left"/>
      </w:pPr>
      <w:r>
        <w:rPr>
          <w:rFonts w:ascii="Arial" w:cs="Arial" w:eastAsia="Arial" w:hAnsi="Arial"/>
          <w:b w:val="false"/>
          <w:bCs w:val="false"/>
          <w:i w:val="false"/>
          <w:iCs w:val="false"/>
          <w:color w:val="2E2E2E"/>
          <w:sz w:val="20"/>
          <w:szCs w:val="20"/>
        </w:rPr>
        <w:t xml:space="preserve">The ReAct (Reasoning + Acting) Agent handles complex, multi-step tasks that require flexible tool selection and iterative reasoning. It decides at each step which tool to call, reads the result, and determines whether additional tool calls are necessary before generating a final answer.</w:t>
      </w:r>
    </w:p>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Key tools: PubMed Tool, ClinicalTrials.gov Tool, NCI PDQ Tool, ClinVar Tool, CIViC Tool, Web Search Tool (restricted to trusted medical domains), Calculator Tool, Summariser Tool, Citation Tool.</w:t>
      </w:r>
    </w:p>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Constraints: Maximum five ReAct steps per query; maximum one reflection retry; maximum twelve retrieved documents per query.</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5.7 General Chat Agent</w:t>
      </w:r>
    </w:p>
    <w:p>
      <w:pPr>
        <w:spacing w:after="80" w:before="80"/>
        <w:jc w:val="left"/>
      </w:pPr>
      <w:r>
        <w:rPr>
          <w:rFonts w:ascii="Arial" w:cs="Arial" w:eastAsia="Arial" w:hAnsi="Arial"/>
          <w:b w:val="false"/>
          <w:bCs w:val="false"/>
          <w:i w:val="false"/>
          <w:iCs w:val="false"/>
          <w:color w:val="2E2E2E"/>
          <w:sz w:val="20"/>
          <w:szCs w:val="20"/>
        </w:rPr>
        <w:t xml:space="preserve">The General Chat Agent handles straightforward informational queries that do not require specialised retrieval or tool use, such as definitions of cancer terms, explanations of treatment modalities, or general health education. It uses conversational language and escalates to the RAG agent when retrieved evidence is needed.</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6. MCP Tool Layer</w:t>
      </w:r>
    </w:p>
    <w:p>
      <w:pPr>
        <w:spacing w:after="80" w:before="80"/>
        <w:jc w:val="left"/>
      </w:pPr>
      <w:r>
        <w:rPr>
          <w:rFonts w:ascii="Arial" w:cs="Arial" w:eastAsia="Arial" w:hAnsi="Arial"/>
          <w:b w:val="false"/>
          <w:bCs w:val="false"/>
          <w:i w:val="false"/>
          <w:iCs w:val="false"/>
          <w:color w:val="2E2E2E"/>
          <w:sz w:val="20"/>
          <w:szCs w:val="20"/>
        </w:rPr>
        <w:t xml:space="preserve">The MCP (Model Context Protocol) Tool Layer provides a standardised interface through which agents connect to external databases, APIs, file systems, and search services. MCP is optional and is primarily used by the Manual Tool Agent and the ReAct Agent. Using MCP reduces the need for agent-specific API integration code and improves maintainability.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MCP Server</w:t>
            </w:r>
          </w:p>
        </w:tc>
        <w:tc>
          <w:tcPr>
            <w:tcW w:type="dxa" w:w="63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Connected Agents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PubMed MCP Server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Agentic RAG Agent, ReAct Agent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ClinicalTrials MCP Server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Clinical Trial Agent, ReAct Agent, Manual Tool Agent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File System MCP Server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Report Explanation Agent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Vector Database MCP Server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Agentic RAG Agent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Browser / Search MCP Server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Agentic RAG Agent, ReAct Agent (restricted to trusted medical domains)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Database MCP Server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Supervisor Agent, Monitoring Layer (audit logs, safe system memory)</w:t>
            </w:r>
          </w:p>
        </w:tc>
      </w:tr>
    </w:tbl>
    <w:p>
      <w:r>
        <w:rPr>
          <w:rFonts w:ascii="Arial" w:cs="Arial" w:eastAsia="Arial" w:hAnsi="Arial"/>
          <w:sz w:val="20"/>
          <w:szCs w:val="20"/>
        </w:rPr>
        <w:t xml:space="preserve"/>
      </w:r>
    </w:p>
    <w:p>
      <w:pPr>
        <w:shd w:fill="EDE7F6" w:val="clear"/>
        <w:spacing w:after="120" w:before="120"/>
        <w:ind w:left="360" w:right="360"/>
        <w:jc w:val="left"/>
      </w:pPr>
      <w:r>
        <w:rPr>
          <w:rFonts w:ascii="Arial" w:cs="Arial" w:eastAsia="Arial" w:hAnsi="Arial"/>
          <w:b w:val="false"/>
          <w:bCs w:val="false"/>
          <w:i/>
          <w:iCs/>
          <w:color w:val="2E2E2E"/>
          <w:sz w:val="20"/>
          <w:szCs w:val="20"/>
        </w:rPr>
        <w:t xml:space="preserve">Privacy Rule: The Database MCP Server must not store identifiable patient data unless explicit user consent is obtained and applicable data protection regulations are followed.</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7. Reflection Agent</w:t>
      </w:r>
    </w:p>
    <w:p>
      <w:pPr>
        <w:spacing w:after="80" w:before="80"/>
        <w:jc w:val="left"/>
      </w:pPr>
      <w:r>
        <w:rPr>
          <w:rFonts w:ascii="Arial" w:cs="Arial" w:eastAsia="Arial" w:hAnsi="Arial"/>
          <w:b w:val="false"/>
          <w:bCs w:val="false"/>
          <w:i w:val="false"/>
          <w:iCs w:val="false"/>
          <w:color w:val="2E2E2E"/>
          <w:sz w:val="20"/>
          <w:szCs w:val="20"/>
        </w:rPr>
        <w:t xml:space="preserve">The Reflection Agent performs a structured quality review of each agent's draft output before it proceeds to claim verification or the output guardrail. It functions as an internal reviewer, checking for completeness, safety, citation coverage, and language clarity.</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7.1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Review Dimension</w:t>
            </w:r>
          </w:p>
        </w:tc>
        <w:tc>
          <w:tcPr>
            <w:tcW w:type="dxa" w:w="672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Check Performed</w:t>
            </w:r>
          </w:p>
        </w:tc>
      </w:tr>
      <w:tr>
        <w:tc>
          <w:tcPr>
            <w:tcW w:type="dxa" w:w="26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Quality Review</w:t>
            </w:r>
          </w:p>
        </w:tc>
        <w:tc>
          <w:tcPr>
            <w:tcW w:type="dxa" w:w="67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Does the response fully and accurately address the user's question?</w:t>
            </w:r>
          </w:p>
        </w:tc>
      </w:tr>
      <w:tr>
        <w:tc>
          <w:tcPr>
            <w:tcW w:type="dxa" w:w="26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Completeness Check</w:t>
            </w:r>
          </w:p>
        </w:tc>
        <w:tc>
          <w:tcPr>
            <w:tcW w:type="dxa" w:w="67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Are all relevant aspects of the query addressed? Are important caveats included?</w:t>
            </w:r>
          </w:p>
        </w:tc>
      </w:tr>
      <w:tr>
        <w:tc>
          <w:tcPr>
            <w:tcW w:type="dxa" w:w="26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Citation Check</w:t>
            </w:r>
          </w:p>
        </w:tc>
        <w:tc>
          <w:tcPr>
            <w:tcW w:type="dxa" w:w="67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Does every significant medical claim have an associated citation from a trusted source?</w:t>
            </w:r>
          </w:p>
        </w:tc>
      </w:tr>
      <w:tr>
        <w:tc>
          <w:tcPr>
            <w:tcW w:type="dxa" w:w="26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Safety Review</w:t>
            </w:r>
          </w:p>
        </w:tc>
        <w:tc>
          <w:tcPr>
            <w:tcW w:type="dxa" w:w="67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Does the response avoid diagnosis, unsupported treatment advice, and drug dosage recommendations?</w:t>
            </w:r>
          </w:p>
        </w:tc>
      </w:tr>
      <w:tr>
        <w:tc>
          <w:tcPr>
            <w:tcW w:type="dxa" w:w="26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Simple-English Validation</w:t>
            </w:r>
          </w:p>
        </w:tc>
        <w:tc>
          <w:tcPr>
            <w:tcW w:type="dxa" w:w="67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Is the response written in language that a patient or caregiver can understand?</w:t>
            </w:r>
          </w:p>
        </w:tc>
      </w:tr>
    </w:tbl>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If any check fails, the Reflection Agent sends the draft back to the originating agent for correction before proceeding. A maximum of one retry is allowed per query to control latency.</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8. Claim Verification Agent</w:t>
      </w:r>
    </w:p>
    <w:p>
      <w:pPr>
        <w:spacing w:after="80" w:before="80"/>
        <w:jc w:val="left"/>
      </w:pPr>
      <w:r>
        <w:rPr>
          <w:rFonts w:ascii="Arial" w:cs="Arial" w:eastAsia="Arial" w:hAnsi="Arial"/>
          <w:b w:val="false"/>
          <w:bCs w:val="false"/>
          <w:i w:val="false"/>
          <w:iCs w:val="false"/>
          <w:color w:val="2E2E2E"/>
          <w:sz w:val="20"/>
          <w:szCs w:val="20"/>
        </w:rPr>
        <w:t xml:space="preserve">The Claim Verification Agent extracts individual medical claims from the draft response, matches each claim against the retrieved source documents, and assigns a support status and confidence score. Unsupported or low-confidence claims are flagged, corrected, or removed.</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8.1 Claim Assessment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Claim Extraction</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Identifies discrete factual medical statements within the draft response.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Evidence Matching</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Matches each claim to specific passages in retrieved source documents.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Support Classification</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Labels each claim as: Supported (evidence present), Unsupported (no evidence), or Uncertain (weak or conflicting 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Confidence Scoring</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Assigns a numerical confidence score based on the strength, recency, and relevance of supporting evidence.</w:t>
            </w:r>
          </w:p>
        </w:tc>
      </w:tr>
    </w:tbl>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8.2 Risk Routing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Outcome</w:t>
            </w:r>
          </w:p>
        </w:tc>
        <w:tc>
          <w:tcPr>
            <w:tcW w:type="dxa" w:w="648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Routing Decision</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Low Risk / Verified</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All claims supported with adequate confidence. Proceed to Output Guardrail.</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High Risk / Low Confidence</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One or more unsupported or uncertain claims. Route to Human-in-the-Loop Review Queue.</w:t>
            </w:r>
          </w:p>
        </w:tc>
      </w:tr>
    </w:tbl>
    <w:p>
      <w:r>
        <w:rPr>
          <w:rFonts w:ascii="Arial" w:cs="Arial" w:eastAsia="Arial" w:hAnsi="Arial"/>
          <w:sz w:val="20"/>
          <w:szCs w:val="20"/>
        </w:rPr>
        <w:t xml:space="preserve"/>
      </w:r>
    </w:p>
    <w:p>
      <w:pPr>
        <w:shd w:fill="FFF0DC" w:val="clear"/>
        <w:spacing w:after="120" w:before="120"/>
        <w:ind w:left="360" w:right="360"/>
        <w:jc w:val="left"/>
      </w:pPr>
      <w:r>
        <w:rPr>
          <w:rFonts w:ascii="Arial" w:cs="Arial" w:eastAsia="Arial" w:hAnsi="Arial"/>
          <w:b w:val="false"/>
          <w:bCs w:val="false"/>
          <w:i/>
          <w:iCs/>
          <w:color w:val="2E2E2E"/>
          <w:sz w:val="20"/>
          <w:szCs w:val="20"/>
        </w:rPr>
        <w:t xml:space="preserve">Example: Draft claim — "HER2-positive breast cancer always responds well to targeted therapy." — Flagged because "always" overstates evidence. Corrected to: "HER2-positive breast cancers may respond to HER2-targeted therapies, but treatment response depends on the patient's full clinical context and should be determined by the treating oncologist."</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9. Human-in-the-Loop Review Queue</w:t>
      </w:r>
    </w:p>
    <w:p>
      <w:pPr>
        <w:spacing w:after="80" w:before="80"/>
        <w:jc w:val="left"/>
      </w:pPr>
      <w:r>
        <w:rPr>
          <w:rFonts w:ascii="Arial" w:cs="Arial" w:eastAsia="Arial" w:hAnsi="Arial"/>
          <w:b w:val="false"/>
          <w:bCs w:val="false"/>
          <w:i w:val="false"/>
          <w:iCs w:val="false"/>
          <w:color w:val="2E2E2E"/>
          <w:sz w:val="20"/>
          <w:szCs w:val="20"/>
        </w:rPr>
        <w:t xml:space="preserve">High-risk or low-confidence outputs are placed in a human review queue before the final response is delivered. A qualified reviewer assesses the AI-generated draft and may approve it, edit it, or reject it. The reviewed response then proceeds to the Output Guardrail.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Case Type</w:t>
            </w:r>
          </w:p>
        </w:tc>
        <w:tc>
          <w:tcPr>
            <w:tcW w:type="dxa" w:w="57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Recommended Reviewer</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Red-flag symptoms or emergency concerns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Doctor or nurse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Treatment-related questions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Oncologist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Clinical trial eligibility queries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Trial coordinator</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Genomic report explanation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Genetic counsellor or molecular pathologist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Imaging report explanation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Radiologist or clinician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Low-confidence or conflicting evidence answers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Medical reviewer</w:t>
            </w:r>
          </w:p>
        </w:tc>
      </w:tr>
    </w:tbl>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Human reviewers have three options: Approve (the response is safe and appropriate), Edit (the response requires modification before delivery), or Reject (the response cannot be safely delivered and a new response must be generated).</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10. Output Guardrail</w:t>
      </w:r>
    </w:p>
    <w:p>
      <w:pPr>
        <w:spacing w:after="80" w:before="80"/>
        <w:jc w:val="left"/>
      </w:pPr>
      <w:r>
        <w:rPr>
          <w:rFonts w:ascii="Arial" w:cs="Arial" w:eastAsia="Arial" w:hAnsi="Arial"/>
          <w:b w:val="false"/>
          <w:bCs w:val="false"/>
          <w:i w:val="false"/>
          <w:iCs w:val="false"/>
          <w:color w:val="2E2E2E"/>
          <w:sz w:val="20"/>
          <w:szCs w:val="20"/>
        </w:rPr>
        <w:t xml:space="preserve">The Output Guardrail is the final safety checkpoint before the response reaches the user. It performs a comprehensive check covering medical safety, privacy, and communication quality.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Check Category</w:t>
            </w:r>
          </w:p>
        </w:tc>
        <w:tc>
          <w:tcPr>
            <w:tcW w:type="dxa" w:w="648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Final Safety Check</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Confirms the response does not contain a definitive diagnosis, unsupported treatment recommendation, or drug dosage instruction.</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PII Removal</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Scans the response for any personally identifiable information that may have entered the pipeline and removes it.</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Medical Safety</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Verifies that emergency cases include appropriate escalation guidance, that citations are present, and that language is neither alarming nor dismissive.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Decision</w:t>
            </w:r>
          </w:p>
        </w:tc>
        <w:tc>
          <w:tcPr>
            <w:tcW w:type="dxa" w:w="72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Meaning</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Approve</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Response is safe. Proceed to final delivery.</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Revise</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Minor correction required. Return to the responsible agent.</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Block</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Response is unsafe. Do not deliver. Log for review.</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Human Review</w:t>
            </w:r>
          </w:p>
        </w:tc>
        <w:tc>
          <w:tcPr>
            <w:tcW w:type="dxa" w:w="72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Additional clinical oversight required before delivery.</w:t>
            </w:r>
          </w:p>
        </w:tc>
      </w:tr>
    </w:tbl>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11. LangSmith Monitoring</w:t>
      </w:r>
    </w:p>
    <w:p>
      <w:pPr>
        <w:spacing w:after="80" w:before="80"/>
        <w:jc w:val="left"/>
      </w:pPr>
      <w:r>
        <w:rPr>
          <w:rFonts w:ascii="Arial" w:cs="Arial" w:eastAsia="Arial" w:hAnsi="Arial"/>
          <w:b w:val="false"/>
          <w:bCs w:val="false"/>
          <w:i w:val="false"/>
          <w:iCs w:val="false"/>
          <w:color w:val="2E2E2E"/>
          <w:sz w:val="20"/>
          <w:szCs w:val="20"/>
        </w:rPr>
        <w:t xml:space="preserve">All system activity is traced and logged through LangSmith, which provides observability across the entire pipeline. This supports debugging, performance evaluation, safety auditing, and iterative system improvement.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Monitoring Dimension</w:t>
            </w:r>
          </w:p>
        </w:tc>
        <w:tc>
          <w:tcPr>
            <w:tcW w:type="dxa" w:w="63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Tracing</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Records the full execution path of each query, including agent activations, tool calls, and routing decisions.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Routing</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Tracks supervisor routing decisions to identify classification errors or suboptimal agent selection.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Tool Usage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Logs which MCP tools and external APIs were called, including call frequency and success rates.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Latency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Measures response time at each pipeline stage to identify bottlenecks.</w:t>
            </w:r>
          </w:p>
        </w:tc>
      </w:tr>
    </w:tbl>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LangSmith data should be reviewed regularly to identify patterns in hallucination, routing errors, human review triggers, and user query trends.</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12. Safety and Hallucination Management</w:t>
      </w:r>
    </w:p>
    <w:p>
      <w:pPr>
        <w:spacing w:after="80" w:before="80"/>
        <w:jc w:val="left"/>
      </w:pPr>
      <w:r>
        <w:rPr>
          <w:rFonts w:ascii="Arial" w:cs="Arial" w:eastAsia="Arial" w:hAnsi="Arial"/>
          <w:b w:val="false"/>
          <w:bCs w:val="false"/>
          <w:i w:val="false"/>
          <w:iCs w:val="false"/>
          <w:color w:val="2E2E2E"/>
          <w:sz w:val="20"/>
          <w:szCs w:val="20"/>
        </w:rPr>
        <w:t xml:space="preserve">Medical hallucination — the generation of confident but factually incorrect medical statements — is among the most serious risks in a clinical AI system. OncoGuide addresses this through multiple complementary mechanisms.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Mechanism</w:t>
            </w:r>
          </w:p>
        </w:tc>
        <w:tc>
          <w:tcPr>
            <w:tcW w:type="dxa" w:w="648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RAG-First Answering</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All medical claims are grounded in retrieved documents. If no supporting evidence is found, the system states: "I do not have sufficient trusted evidence to answer this question safely."</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Mandatory Citations</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Every significant medical claim must be accompanied by a source citation.</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Claim Verification</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The Claim Verification Agent checks all claims against source passages before final delivery.</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Multi-Layer Guardrails</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Input Guardrail, agent-level guardrails, Reflection Agent, and Output Guardrail each apply independent safety checks.</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Human Review</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High-risk and low-confidence outputs are reviewed by a qualified human before delivery.</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Calibrated Language</w:t>
            </w:r>
          </w:p>
        </w:tc>
        <w:tc>
          <w:tcPr>
            <w:tcW w:type="dxa" w:w="64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Overconfident language (e.g., "always", "guaranteed", "best treatment for you") is prohibited. Preferred alternatives include "may", "can", "depends on clinical assessment", and "should be confirmed by your doctor".</w:t>
            </w:r>
          </w:p>
        </w:tc>
      </w:tr>
    </w:tbl>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13. Technology Stack</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Recommended Technology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LLM Inference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Groq (Llama, Qwen, Gemma, or Mixtral model families depending on availability)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Agent Orchestration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LangGraph (node-and-edge workflow with conditional branching)</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RAG Framework</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LlamaIndex (document indexing and retrieval) + LangGraph (agent workflow)</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Vector Database (MVP)</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ChromaDB or Qdrant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Vector Database (Production)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Qdrant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Embedding Models — General</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BGE-M3</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Embedding Models — Biomedical</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PubMedBERT or MedCPT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Embedding Models — Entity Matching</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SapBERT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Monitoring and Tracing</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LangSmith</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Evaluation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RAGAS, DeepEval, custom medical safety checklist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Task Type</w:t>
            </w:r>
          </w:p>
        </w:tc>
        <w:tc>
          <w:tcPr>
            <w:tcW w:type="dxa" w:w="54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Recommended Model Size</w:t>
            </w:r>
          </w:p>
        </w:tc>
      </w:tr>
      <w:tr>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Intent detection, guardrail checks, query rewriting</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Small model (low latency)</w:t>
            </w:r>
          </w:p>
        </w:tc>
      </w:tr>
      <w:tr>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Conversational responses, screening</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Medium model</w:t>
            </w:r>
          </w:p>
        </w:tc>
      </w:tr>
      <w:tr>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Medical reasoning, final answer generation, reflection</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Large model</w:t>
            </w:r>
          </w:p>
        </w:tc>
      </w:tr>
      <w:tr>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Claim verification</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Medium or large model</w:t>
            </w:r>
          </w:p>
        </w:tc>
      </w:tr>
    </w:tbl>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14. Latency Management</w:t>
      </w:r>
    </w:p>
    <w:p>
      <w:pPr>
        <w:spacing w:after="80" w:before="80"/>
        <w:jc w:val="left"/>
      </w:pPr>
      <w:r>
        <w:rPr>
          <w:rFonts w:ascii="Arial" w:cs="Arial" w:eastAsia="Arial" w:hAnsi="Arial"/>
          <w:b w:val="false"/>
          <w:bCs w:val="false"/>
          <w:i w:val="false"/>
          <w:iCs w:val="false"/>
          <w:color w:val="2E2E2E"/>
          <w:sz w:val="20"/>
          <w:szCs w:val="20"/>
        </w:rPr>
        <w:t xml:space="preserve">Multi-agent systems introduce latency through sequential agent activations, tool calls, and retrieval operations. The following strategies are applied to maintain acceptable response times.</w:t>
      </w:r>
    </w:p>
    <w:p>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color w:val="2E2E2E"/>
          <w:sz w:val="20"/>
          <w:szCs w:val="20"/>
        </w:rPr>
        <w:t xml:space="preserve">Supervisor routing: Only the agents required for a given query are activated.</w:t>
      </w:r>
    </w:p>
    <w:p>
      <w:pPr>
        <w:pStyle w:val="ListParagraph"/>
        <w:numPr>
          <w:ilvl w:val="0"/>
          <w:numId w:val="2"/>
        </w:numPr>
        <w:spacing w:after="40" w:before="40"/>
      </w:pPr>
      <w:r>
        <w:rPr>
          <w:rFonts w:ascii="Arial" w:cs="Arial" w:eastAsia="Arial" w:hAnsi="Arial"/>
          <w:color w:val="2E2E2E"/>
          <w:sz w:val="20"/>
          <w:szCs w:val="20"/>
        </w:rPr>
        <w:t xml:space="preserve">Model size matching: Small models handle classification and guardrail checks; large models are reserved for final generation.</w:t>
      </w:r>
    </w:p>
    <w:p>
      <w:pPr>
        <w:pStyle w:val="ListParagraph"/>
        <w:numPr>
          <w:ilvl w:val="0"/>
          <w:numId w:val="2"/>
        </w:numPr>
        <w:spacing w:after="40" w:before="40"/>
      </w:pPr>
      <w:r>
        <w:rPr>
          <w:rFonts w:ascii="Arial" w:cs="Arial" w:eastAsia="Arial" w:hAnsi="Arial"/>
          <w:color w:val="2E2E2E"/>
          <w:sz w:val="20"/>
          <w:szCs w:val="20"/>
        </w:rPr>
        <w:t xml:space="preserve">Parallel retrieval: PubMed, NCI PDQ, and ClinicalTrials.gov are queried concurrently rather than sequentially.</w:t>
      </w:r>
    </w:p>
    <w:p>
      <w:pPr>
        <w:pStyle w:val="ListParagraph"/>
        <w:numPr>
          <w:ilvl w:val="0"/>
          <w:numId w:val="2"/>
        </w:numPr>
        <w:spacing w:after="40" w:before="40"/>
      </w:pPr>
      <w:r>
        <w:rPr>
          <w:rFonts w:ascii="Arial" w:cs="Arial" w:eastAsia="Arial" w:hAnsi="Arial"/>
          <w:color w:val="2E2E2E"/>
          <w:sz w:val="20"/>
          <w:szCs w:val="20"/>
        </w:rPr>
        <w:t xml:space="preserve">Response caching: Frequently asked questions with stable answers are cached to avoid repeated retrieval.</w:t>
      </w:r>
    </w:p>
    <w:p>
      <w:pPr>
        <w:pStyle w:val="ListParagraph"/>
        <w:numPr>
          <w:ilvl w:val="0"/>
          <w:numId w:val="2"/>
        </w:numPr>
        <w:spacing w:after="40" w:before="40"/>
      </w:pPr>
      <w:r>
        <w:rPr>
          <w:rFonts w:ascii="Arial" w:cs="Arial" w:eastAsia="Arial" w:hAnsi="Arial"/>
          <w:color w:val="2E2E2E"/>
          <w:sz w:val="20"/>
          <w:szCs w:val="20"/>
        </w:rPr>
        <w:t xml:space="preserve">Step limits: ReAct Agent maximum five steps; reflection maximum one retry; maximum twelve retrieved documents per query.</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15. MVP Implementation Scope</w:t>
      </w:r>
    </w:p>
    <w:p>
      <w:pPr>
        <w:spacing w:after="80" w:before="80"/>
        <w:jc w:val="left"/>
      </w:pPr>
      <w:r>
        <w:rPr>
          <w:rFonts w:ascii="Arial" w:cs="Arial" w:eastAsia="Arial" w:hAnsi="Arial"/>
          <w:b w:val="false"/>
          <w:bCs w:val="false"/>
          <w:i w:val="false"/>
          <w:iCs w:val="false"/>
          <w:color w:val="2E2E2E"/>
          <w:sz w:val="20"/>
          <w:szCs w:val="20"/>
        </w:rPr>
        <w:t xml:space="preserve">The initial Minimum Viable Product (MVP) is scoped to three cancer types: breast cancer, lung cancer, and colorectal cancer. The following agents, tools, and MCP servers are included in the MVP build.</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15.1 MVP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Agent</w:t>
            </w:r>
          </w:p>
        </w:tc>
        <w:tc>
          <w:tcPr>
            <w:tcW w:type="dxa" w:w="504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Included in MVP</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Unified Input Guardrail</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Yes</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Supervisor Agent</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Yes</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Screening Agent</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Yes</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Agentic RAG Agent (with Hybrid RAG Pipeline)</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Yes</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Clinical Trial Agent</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Yes</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Reflection Agent</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Yes</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Claim Verification Agent</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Yes</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Output Guardrail</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Yes</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Human-in-the-Loop Review</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Yes</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General Chat Agent</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Yes</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Manual Tool Agent</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Partial (rule-based subset)</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ReAct Agent</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Deferred to v2</w:t>
            </w:r>
          </w:p>
        </w:tc>
      </w:tr>
      <w:tr>
        <w:tc>
          <w:tcPr>
            <w:tcW w:type="dxa" w:w="43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Report Explanation Agent</w:t>
            </w:r>
          </w:p>
        </w:tc>
        <w:tc>
          <w:tcPr>
            <w:tcW w:type="dxa" w:w="50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Deferred to v2</w:t>
            </w:r>
          </w:p>
        </w:tc>
      </w:tr>
    </w:tbl>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15.2 MVP Tools and MCP Servers</w:t>
      </w:r>
    </w:p>
    <w:p>
      <w:pPr>
        <w:pStyle w:val="ListParagraph"/>
        <w:numPr>
          <w:ilvl w:val="0"/>
          <w:numId w:val="2"/>
        </w:numPr>
        <w:spacing w:after="40" w:before="40"/>
      </w:pPr>
      <w:r>
        <w:rPr>
          <w:rFonts w:ascii="Arial" w:cs="Arial" w:eastAsia="Arial" w:hAnsi="Arial"/>
          <w:color w:val="2E2E2E"/>
          <w:sz w:val="20"/>
          <w:szCs w:val="20"/>
        </w:rPr>
        <w:t xml:space="preserve">NCI PDQ Search Tool</w:t>
      </w:r>
    </w:p>
    <w:p>
      <w:pPr>
        <w:pStyle w:val="ListParagraph"/>
        <w:numPr>
          <w:ilvl w:val="0"/>
          <w:numId w:val="2"/>
        </w:numPr>
        <w:spacing w:after="40" w:before="40"/>
      </w:pPr>
      <w:r>
        <w:rPr>
          <w:rFonts w:ascii="Arial" w:cs="Arial" w:eastAsia="Arial" w:hAnsi="Arial"/>
          <w:color w:val="2E2E2E"/>
          <w:sz w:val="20"/>
          <w:szCs w:val="20"/>
        </w:rPr>
        <w:t xml:space="preserve">PubMed Search Tool</w:t>
      </w:r>
    </w:p>
    <w:p>
      <w:pPr>
        <w:pStyle w:val="ListParagraph"/>
        <w:numPr>
          <w:ilvl w:val="0"/>
          <w:numId w:val="2"/>
        </w:numPr>
        <w:spacing w:after="40" w:before="40"/>
      </w:pPr>
      <w:r>
        <w:rPr>
          <w:rFonts w:ascii="Arial" w:cs="Arial" w:eastAsia="Arial" w:hAnsi="Arial"/>
          <w:color w:val="2E2E2E"/>
          <w:sz w:val="20"/>
          <w:szCs w:val="20"/>
        </w:rPr>
        <w:t xml:space="preserve">ClinicalTrials.gov Search Tool</w:t>
      </w:r>
    </w:p>
    <w:p>
      <w:pPr>
        <w:pStyle w:val="ListParagraph"/>
        <w:numPr>
          <w:ilvl w:val="0"/>
          <w:numId w:val="2"/>
        </w:numPr>
        <w:spacing w:after="40" w:before="40"/>
      </w:pPr>
      <w:r>
        <w:rPr>
          <w:rFonts w:ascii="Arial" w:cs="Arial" w:eastAsia="Arial" w:hAnsi="Arial"/>
          <w:color w:val="2E2E2E"/>
          <w:sz w:val="20"/>
          <w:szCs w:val="20"/>
        </w:rPr>
        <w:t xml:space="preserve">Vector Search Tool</w:t>
      </w:r>
    </w:p>
    <w:p>
      <w:pPr>
        <w:pStyle w:val="ListParagraph"/>
        <w:numPr>
          <w:ilvl w:val="0"/>
          <w:numId w:val="2"/>
        </w:numPr>
        <w:spacing w:after="40" w:before="40"/>
      </w:pPr>
      <w:r>
        <w:rPr>
          <w:rFonts w:ascii="Arial" w:cs="Arial" w:eastAsia="Arial" w:hAnsi="Arial"/>
          <w:color w:val="2E2E2E"/>
          <w:sz w:val="20"/>
          <w:szCs w:val="20"/>
        </w:rPr>
        <w:t xml:space="preserve">BM25 Search Tool</w:t>
      </w:r>
    </w:p>
    <w:p>
      <w:pPr>
        <w:pStyle w:val="ListParagraph"/>
        <w:numPr>
          <w:ilvl w:val="0"/>
          <w:numId w:val="2"/>
        </w:numPr>
        <w:spacing w:after="40" w:before="40"/>
      </w:pPr>
      <w:r>
        <w:rPr>
          <w:rFonts w:ascii="Arial" w:cs="Arial" w:eastAsia="Arial" w:hAnsi="Arial"/>
          <w:color w:val="2E2E2E"/>
          <w:sz w:val="20"/>
          <w:szCs w:val="20"/>
        </w:rPr>
        <w:t xml:space="preserve">Risk Scoring Tool</w:t>
      </w:r>
    </w:p>
    <w:p>
      <w:pPr>
        <w:pStyle w:val="ListParagraph"/>
        <w:numPr>
          <w:ilvl w:val="0"/>
          <w:numId w:val="2"/>
        </w:numPr>
        <w:spacing w:after="40" w:before="40"/>
      </w:pPr>
      <w:r>
        <w:rPr>
          <w:rFonts w:ascii="Arial" w:cs="Arial" w:eastAsia="Arial" w:hAnsi="Arial"/>
          <w:color w:val="2E2E2E"/>
          <w:sz w:val="20"/>
          <w:szCs w:val="20"/>
        </w:rPr>
        <w:t xml:space="preserve">Citation Checker Tool</w:t>
      </w:r>
    </w:p>
    <w:p>
      <w:pPr>
        <w:pStyle w:val="ListParagraph"/>
        <w:numPr>
          <w:ilvl w:val="0"/>
          <w:numId w:val="2"/>
        </w:numPr>
        <w:spacing w:after="40" w:before="40"/>
      </w:pPr>
      <w:r>
        <w:rPr>
          <w:rFonts w:ascii="Arial" w:cs="Arial" w:eastAsia="Arial" w:hAnsi="Arial"/>
          <w:color w:val="2E2E2E"/>
          <w:sz w:val="20"/>
          <w:szCs w:val="20"/>
        </w:rPr>
        <w:t xml:space="preserve">Doctor Summary Generator</w:t>
      </w:r>
    </w:p>
    <w:p>
      <w:pPr>
        <w:pStyle w:val="ListParagraph"/>
        <w:numPr>
          <w:ilvl w:val="0"/>
          <w:numId w:val="2"/>
        </w:numPr>
        <w:spacing w:after="40" w:before="40"/>
      </w:pPr>
      <w:r>
        <w:rPr>
          <w:rFonts w:ascii="Arial" w:cs="Arial" w:eastAsia="Arial" w:hAnsi="Arial"/>
          <w:color w:val="2E2E2E"/>
          <w:sz w:val="20"/>
          <w:szCs w:val="20"/>
        </w:rPr>
        <w:t xml:space="preserve">PubMed MCP Server</w:t>
      </w:r>
    </w:p>
    <w:p>
      <w:pPr>
        <w:pStyle w:val="ListParagraph"/>
        <w:numPr>
          <w:ilvl w:val="0"/>
          <w:numId w:val="2"/>
        </w:numPr>
        <w:spacing w:after="40" w:before="40"/>
      </w:pPr>
      <w:r>
        <w:rPr>
          <w:rFonts w:ascii="Arial" w:cs="Arial" w:eastAsia="Arial" w:hAnsi="Arial"/>
          <w:color w:val="2E2E2E"/>
          <w:sz w:val="20"/>
          <w:szCs w:val="20"/>
        </w:rPr>
        <w:t xml:space="preserve">ClinicalTrials MCP Server</w:t>
      </w:r>
    </w:p>
    <w:p>
      <w:pPr>
        <w:pStyle w:val="ListParagraph"/>
        <w:numPr>
          <w:ilvl w:val="0"/>
          <w:numId w:val="2"/>
        </w:numPr>
        <w:spacing w:after="40" w:before="40"/>
      </w:pPr>
      <w:r>
        <w:rPr>
          <w:rFonts w:ascii="Arial" w:cs="Arial" w:eastAsia="Arial" w:hAnsi="Arial"/>
          <w:color w:val="2E2E2E"/>
          <w:sz w:val="20"/>
          <w:szCs w:val="20"/>
        </w:rPr>
        <w:t xml:space="preserve">Vector DB MCP Server</w:t>
      </w:r>
    </w:p>
    <w:p>
      <w:pPr>
        <w:pStyle w:val="ListParagraph"/>
        <w:numPr>
          <w:ilvl w:val="0"/>
          <w:numId w:val="2"/>
        </w:numPr>
        <w:spacing w:after="40" w:before="40"/>
      </w:pPr>
      <w:r>
        <w:rPr>
          <w:rFonts w:ascii="Arial" w:cs="Arial" w:eastAsia="Arial" w:hAnsi="Arial"/>
          <w:color w:val="2E2E2E"/>
          <w:sz w:val="20"/>
          <w:szCs w:val="20"/>
        </w:rPr>
        <w:t xml:space="preserve">File System MCP Server</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16. Evaluation Framework</w:t>
      </w:r>
    </w:p>
    <w:p>
      <w:pPr>
        <w:spacing w:after="80" w:before="80"/>
        <w:jc w:val="left"/>
      </w:pPr>
      <w:r>
        <w:rPr>
          <w:rFonts w:ascii="Arial" w:cs="Arial" w:eastAsia="Arial" w:hAnsi="Arial"/>
          <w:b w:val="false"/>
          <w:bCs w:val="false"/>
          <w:i w:val="false"/>
          <w:iCs w:val="false"/>
          <w:color w:val="2E2E2E"/>
          <w:sz w:val="20"/>
          <w:szCs w:val="20"/>
        </w:rPr>
        <w:t xml:space="preserve">A rigorous evaluation framework is necessary to validate system safety and performance, and to support publication-level documentation of the system.</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Evaluation Area</w:t>
            </w:r>
          </w:p>
        </w:tc>
        <w:tc>
          <w:tcPr>
            <w:tcW w:type="dxa" w:w="612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pPr>
              <w:jc w:val="left"/>
            </w:pPr>
            <w:r>
              <w:rPr>
                <w:rFonts w:ascii="Arial" w:cs="Arial" w:eastAsia="Arial" w:hAnsi="Arial"/>
                <w:b/>
                <w:bCs/>
                <w:i w:val="false"/>
                <w:iCs w:val="false"/>
                <w:color w:val="FFFFFF"/>
                <w:sz w:val="20"/>
                <w:szCs w:val="20"/>
              </w:rPr>
              <w:t xml:space="preserve">Primary Metric</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Answer Correctness</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Medical accuracy against expert-validated reference answers</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Citation Quality</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Proportion of claims with supporting citations</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Hallucination Rate</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Unsupported claim rate per response</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Screening Accuracy</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Red-flag detection precision and recall</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Trial Matching</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Precision and recall against known eligible trials</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Response Latency</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End-to-end response time per query type</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Safety</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Proportion of responses that pass all guardrail checks without human intervention</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Human Reviewer Satisfaction</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Reviewer rating of AI draft quality (scale 1–5)</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Patient and Caregiver Usefulness</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User-rated comprehensibility and helpfulness</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left"/>
            </w:pPr>
            <w:r>
              <w:rPr>
                <w:rFonts w:ascii="Arial" w:cs="Arial" w:eastAsia="Arial" w:hAnsi="Arial"/>
                <w:b/>
                <w:bCs/>
                <w:i w:val="false"/>
                <w:iCs w:val="false"/>
                <w:color w:val="2E2E2E"/>
                <w:sz w:val="20"/>
                <w:szCs w:val="20"/>
              </w:rPr>
              <w:t xml:space="preserve">RAG Evidence Quality</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i w:val="false"/>
                <w:iCs w:val="false"/>
                <w:color w:val="2E2E2E"/>
                <w:sz w:val="20"/>
                <w:szCs w:val="20"/>
              </w:rPr>
              <w:t xml:space="preserve">Relevance and recency of retrieved source documents</w:t>
            </w:r>
          </w:p>
        </w:tc>
      </w:tr>
    </w:tbl>
    <w:p>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2E2E2E"/>
          <w:sz w:val="20"/>
          <w:szCs w:val="20"/>
        </w:rPr>
        <w:t xml:space="preserve">Evaluation tools: RAGAS (RAG quality metrics), DeepEval (LLM evaluation), and a custom medical safety checklist developed for this system.</w:t>
      </w:r>
    </w:p>
    <w:p>
      <w:r>
        <w:rPr>
          <w:rFonts w:ascii="Arial" w:cs="Arial" w:eastAsia="Arial" w:hAnsi="Arial"/>
          <w:sz w:val="20"/>
          <w:szCs w:val="20"/>
        </w:rPr>
        <w:t xml:space="preserve"/>
      </w:r>
    </w:p>
    <w:p>
      <w:pPr>
        <w:pStyle w:val="Heading1"/>
      </w:pPr>
      <w:r>
        <w:rPr>
          <w:rFonts w:ascii="Arial" w:cs="Arial" w:eastAsia="Arial" w:hAnsi="Arial"/>
          <w:b/>
          <w:bCs/>
          <w:color w:val="1F5C99"/>
          <w:sz w:val="32"/>
          <w:szCs w:val="32"/>
        </w:rPr>
        <w:t xml:space="preserve">17. Project Objective Statement</w:t>
      </w:r>
    </w:p>
    <w:p>
      <w:pPr>
        <w:shd w:fill="D6E4F0" w:val="clear"/>
        <w:spacing w:after="120" w:before="120"/>
        <w:ind w:left="360" w:right="360"/>
        <w:jc w:val="left"/>
      </w:pPr>
      <w:r>
        <w:rPr>
          <w:rFonts w:ascii="Arial" w:cs="Arial" w:eastAsia="Arial" w:hAnsi="Arial"/>
          <w:b w:val="false"/>
          <w:bCs w:val="false"/>
          <w:i/>
          <w:iCs/>
          <w:color w:val="2E2E2E"/>
          <w:sz w:val="20"/>
          <w:szCs w:val="20"/>
        </w:rPr>
        <w:t xml:space="preserve">The objective of this project is to design and develop an open-source agentic AI system for cancer-related symptom screening, evidence-based medical question answering, medical report explanation, and clinical trial matching. The system employs Groq-hosted open-source language models, a hybrid multi-step RAG pipeline (query rewriting, query classification, vector retrieval, BM25 retrieval, RRF fusion, cross-encoder re-ranking, and context assembly), open-source vector databases, open biomedical data sources, a multi-layer guardrail architecture, a reflection agent, a claim verification agent, MCP-based tool integration, and human-in-the-loop validation. All components are monitored through LangSmith to provide safe, explainable, citation-supported, and auditable cancer navigation assistance.</w:t>
      </w:r>
    </w:p>
    <w:p>
      <w:r>
        <w:rPr>
          <w:rFonts w:ascii="Arial" w:cs="Arial" w:eastAsia="Arial" w:hAnsi="Arial"/>
          <w:sz w:val="20"/>
          <w:szCs w:val="20"/>
        </w:rPr>
        <w:t xml:space="preserve"/>
      </w:r>
    </w:p>
    <w:p>
      <w:pPr>
        <w:pStyle w:val="Heading2"/>
      </w:pPr>
      <w:r>
        <w:rPr>
          <w:rFonts w:ascii="Arial" w:cs="Arial" w:eastAsia="Arial" w:hAnsi="Arial"/>
          <w:b/>
          <w:bCs/>
          <w:color w:val="1A7A6E"/>
          <w:sz w:val="26"/>
          <w:szCs w:val="26"/>
        </w:rPr>
        <w:t xml:space="preserve">17.1 Research and Publication Novelty</w:t>
      </w:r>
    </w:p>
    <w:p>
      <w:pPr>
        <w:spacing w:after="80" w:before="80"/>
        <w:jc w:val="left"/>
      </w:pPr>
      <w:r>
        <w:rPr>
          <w:rFonts w:ascii="Arial" w:cs="Arial" w:eastAsia="Arial" w:hAnsi="Arial"/>
          <w:b w:val="false"/>
          <w:bCs w:val="false"/>
          <w:i w:val="false"/>
          <w:iCs w:val="false"/>
          <w:color w:val="2E2E2E"/>
          <w:sz w:val="20"/>
          <w:szCs w:val="20"/>
        </w:rPr>
        <w:t xml:space="preserve">This project may be developed into a peer-reviewed publication. The primary novelty lies in the combination of the following contributions within a single open-source system:</w:t>
      </w:r>
    </w:p>
    <w:p>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color w:val="2E2E2E"/>
          <w:sz w:val="20"/>
          <w:szCs w:val="20"/>
        </w:rPr>
        <w:t xml:space="preserve">A unified multi-agent safety architecture specifically designed for cancer information navigation.</w:t>
      </w:r>
    </w:p>
    <w:p>
      <w:pPr>
        <w:pStyle w:val="ListParagraph"/>
        <w:numPr>
          <w:ilvl w:val="0"/>
          <w:numId w:val="2"/>
        </w:numPr>
        <w:spacing w:after="40" w:before="40"/>
      </w:pPr>
      <w:r>
        <w:rPr>
          <w:rFonts w:ascii="Arial" w:cs="Arial" w:eastAsia="Arial" w:hAnsi="Arial"/>
          <w:color w:val="2E2E2E"/>
          <w:sz w:val="20"/>
          <w:szCs w:val="20"/>
        </w:rPr>
        <w:t xml:space="preserve">A hybrid RAG pipeline incorporating query rewriting, dual retrieval (vector and BM25), RRF fusion, and cross-encoder re-ranking applied to biomedical literature.</w:t>
      </w:r>
    </w:p>
    <w:p>
      <w:pPr>
        <w:pStyle w:val="ListParagraph"/>
        <w:numPr>
          <w:ilvl w:val="0"/>
          <w:numId w:val="2"/>
        </w:numPr>
        <w:spacing w:after="40" w:before="40"/>
      </w:pPr>
      <w:r>
        <w:rPr>
          <w:rFonts w:ascii="Arial" w:cs="Arial" w:eastAsia="Arial" w:hAnsi="Arial"/>
          <w:color w:val="2E2E2E"/>
          <w:sz w:val="20"/>
          <w:szCs w:val="20"/>
        </w:rPr>
        <w:t xml:space="preserve">A structured claim verification layer that explicitly classifies medical claims as supported, unsupported, or uncertain with confidence scoring.</w:t>
      </w:r>
    </w:p>
    <w:p>
      <w:pPr>
        <w:pStyle w:val="ListParagraph"/>
        <w:numPr>
          <w:ilvl w:val="0"/>
          <w:numId w:val="2"/>
        </w:numPr>
        <w:spacing w:after="40" w:before="40"/>
      </w:pPr>
      <w:r>
        <w:rPr>
          <w:rFonts w:ascii="Arial" w:cs="Arial" w:eastAsia="Arial" w:hAnsi="Arial"/>
          <w:color w:val="2E2E2E"/>
          <w:sz w:val="20"/>
          <w:szCs w:val="20"/>
        </w:rPr>
        <w:t xml:space="preserve">Integration of MCP-based tool access for reproducible and auditable external database queries.</w:t>
      </w:r>
    </w:p>
    <w:p>
      <w:pPr>
        <w:pStyle w:val="ListParagraph"/>
        <w:numPr>
          <w:ilvl w:val="0"/>
          <w:numId w:val="2"/>
        </w:numPr>
        <w:spacing w:after="40" w:before="40"/>
      </w:pPr>
      <w:r>
        <w:rPr>
          <w:rFonts w:ascii="Arial" w:cs="Arial" w:eastAsia="Arial" w:hAnsi="Arial"/>
          <w:color w:val="2E2E2E"/>
          <w:sz w:val="20"/>
          <w:szCs w:val="20"/>
        </w:rPr>
        <w:t xml:space="preserve">A human-in-the-loop escalation mechanism triggered by automated risk and confidence assessment.</w:t>
      </w:r>
    </w:p>
    <w:p>
      <w:pPr>
        <w:pStyle w:val="ListParagraph"/>
        <w:numPr>
          <w:ilvl w:val="0"/>
          <w:numId w:val="2"/>
        </w:numPr>
        <w:spacing w:after="40" w:before="40"/>
      </w:pPr>
      <w:r>
        <w:rPr>
          <w:rFonts w:ascii="Arial" w:cs="Arial" w:eastAsia="Arial" w:hAnsi="Arial"/>
          <w:color w:val="2E2E2E"/>
          <w:sz w:val="20"/>
          <w:szCs w:val="20"/>
        </w:rPr>
        <w:t xml:space="preserve">Comprehensive observability through LangSmith tracing, routing analysis, and tool usage monitoring.</w:t>
      </w:r>
    </w:p>
    <w:p>
      <w:pPr>
        <w:pStyle w:val="ListParagraph"/>
        <w:numPr>
          <w:ilvl w:val="0"/>
          <w:numId w:val="2"/>
        </w:numPr>
        <w:spacing w:after="40" w:before="40"/>
      </w:pPr>
      <w:r>
        <w:rPr>
          <w:rFonts w:ascii="Arial" w:cs="Arial" w:eastAsia="Arial" w:hAnsi="Arial"/>
          <w:color w:val="2E2E2E"/>
          <w:sz w:val="20"/>
          <w:szCs w:val="20"/>
        </w:rPr>
        <w:t xml:space="preserve">Evaluation using both automated metrics (RAGAS, DeepEval) and clinician-validated safety checklists.</w:t>
      </w:r>
    </w:p>
    <w:p>
      <w:r>
        <w:rPr>
          <w:rFonts w:ascii="Arial" w:cs="Arial" w:eastAsia="Arial" w:hAnsi="Arial"/>
          <w:sz w:val="20"/>
          <w:szCs w:val="20"/>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OncoGuide Agentic AI — Technical Guide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196F3" w:sz="8" w:space="4"/>
      </w:pBdr>
      <w:spacing w:after="200" w:before="480"/>
      <w:outlineLvl w:val="0"/>
    </w:pPr>
    <w:rPr>
      <w:rFonts w:ascii="Arial" w:cs="Arial" w:eastAsia="Arial" w:hAnsi="Arial"/>
      <w:b/>
      <w:bCs/>
      <w:color w:val="1F5C9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7A6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B2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2026-06-16T11:13:57.948Z</dcterms:created>
  <dcterms:modified xsi:type="dcterms:W3CDTF">2026-06-16T11:13:57.949Z</dcterms:modified>
</cp:coreProperties>
</file>

<file path=docProps/custom.xml><?xml version="1.0" encoding="utf-8"?>
<Properties xmlns="http://schemas.openxmlformats.org/officeDocument/2006/custom-properties" xmlns:vt="http://schemas.openxmlformats.org/officeDocument/2006/docPropsVTypes"/>
</file>