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44"/>
        </w:rPr>
        <w:t>PROJECT MANAGEMENT INDIVIDUAL ASSIGNMENT</w:t>
      </w:r>
    </w:p>
    <w:p>
      <w:pPr>
        <w:spacing w:after="720"/>
        <w:jc w:val="center"/>
      </w:pPr>
      <w:r>
        <w:rPr>
          <w:i/>
          <w:color w:val="595959"/>
          <w:sz w:val="28"/>
        </w:rPr>
        <w:t>Case Study: Implementation of an Enterprise Gym Management System with Automated Stripe Billing and Digital QR Check-In</w:t>
      </w:r>
    </w:p>
    <w:p/>
    <w:p/>
    <w:p/>
    <w:p/>
    <w:p/>
    <w:p>
      <w:pPr>
        <w:spacing w:line="312" w:lineRule="auto"/>
        <w:jc w:val="center"/>
      </w:pPr>
      <w:r>
        <w:rPr>
          <w:b/>
          <w:sz w:val="22"/>
        </w:rPr>
        <w:t>Course / Module: Software Project Management</w:t>
        <w:br/>
        <w:t>Document Type: Individual Assignment Report</w:t>
        <w:br/>
        <w:t>Format Guidelines Met: A4 Paper, Calibri 11, 1.5 spacing</w:t>
        <w:br/>
        <w:t>Date of Submission: May 26, 2026</w:t>
        <w:br/>
      </w:r>
    </w:p>
    <w:p>
      <w:r>
        <w:br w:type="page"/>
      </w:r>
    </w:p>
    <w:p>
      <w:pPr>
        <w:pStyle w:val="Heading1"/>
        <w:spacing w:before="240" w:after="120" w:line="276" w:lineRule="auto"/>
      </w:pPr>
      <w:r>
        <w:rPr>
          <w:rFonts w:ascii="Calibri" w:hAnsi="Calibri"/>
          <w:b/>
          <w:color w:val="1F4E79"/>
          <w:sz w:val="36"/>
        </w:rPr>
        <w:t>SECTION 1: PROJECT LIFECYCLE FLOW &amp; STAGE-GATE PROCESS</w:t>
      </w:r>
    </w:p>
    <w:p>
      <w:pPr>
        <w:spacing w:line="360" w:lineRule="auto" w:after="240"/>
      </w:pPr>
      <w:r>
        <w:rPr>
          <w:rFonts w:ascii="Calibri" w:hAnsi="Calibri"/>
        </w:rPr>
        <w:t>To ensure a structured, transparent, and disciplined delivery of the Gym Management System, the project adopted a hybridized Agile-Waterfall Lifecycle Model. The structural skeleton (governance, milestones, budgeting, and closure) follows the classical linear PMBOK (Project Management Body of Knowledge) process groups, while the operational execution (software design, database modeling, and frontend-backend integration) was carried out via two-week Agile Scrum Sprints. This hybrid approach provides the predictability required for commercial investments alongside the flexibility necessary for software development.</w:t>
      </w:r>
    </w:p>
    <w:p>
      <w:pPr>
        <w:spacing w:line="360" w:lineRule="auto" w:after="240"/>
      </w:pPr>
      <w:r>
        <w:rPr>
          <w:rFonts w:ascii="Calibri" w:hAnsi="Calibri"/>
        </w:rPr>
        <w:t>A critical element of this project structure is the 'Stage-Gate Process'. At each gate (transition point between phases), the project team must present specific deliverables to the Steering Committee or Project Sponsor. Work in the subsequent phase cannot commence until the previous phase is formally signed off. This prevents high-risk developmental activities from proceeding when foundational structures (like database design or security requirements) are unstable.</w:t>
      </w:r>
    </w:p>
    <w:p>
      <w:pPr>
        <w:pStyle w:val="Heading2"/>
        <w:spacing w:before="240" w:after="120" w:line="276" w:lineRule="auto"/>
      </w:pPr>
      <w:r>
        <w:rPr>
          <w:rFonts w:ascii="Calibri" w:hAnsi="Calibri"/>
          <w:b/>
          <w:color w:val="595959"/>
          <w:sz w:val="28"/>
        </w:rPr>
        <w:t>1.1 Lifecycle Phase Explanations and Applied Tools/Techniques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160"/>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Lifecycle Phase</w:t>
            </w:r>
          </w:p>
        </w:tc>
        <w:tc>
          <w:tcPr>
            <w:tcW w:type="dxa" w:w="2592"/>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Process Focus</w:t>
            </w:r>
          </w:p>
        </w:tc>
        <w:tc>
          <w:tcPr>
            <w:tcW w:type="dxa" w:w="2160"/>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Key Tasks</w:t>
            </w:r>
          </w:p>
        </w:tc>
        <w:tc>
          <w:tcPr>
            <w:tcW w:type="dxa" w:w="2448"/>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Applied Tools &amp; Techniques</w:t>
            </w:r>
          </w:p>
        </w:tc>
      </w:tr>
      <w:tr>
        <w:trPr>
          <w:cantSplit/>
        </w:trPr>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1. Starting Phase</w:t>
            </w:r>
          </w:p>
        </w:tc>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Feasibility analysis and project authorization.</w:t>
            </w:r>
          </w:p>
        </w:tc>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Stakeholder identification, drafting the Project Charter.</w:t>
            </w:r>
          </w:p>
        </w:tc>
        <w:tc>
          <w:tcPr>
            <w:tcW w:type="dxa" w:w="244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Business Case analysis, NPV calculations, Stakeholder Register.</w:t>
            </w:r>
          </w:p>
        </w:tc>
      </w:tr>
      <w:tr>
        <w:trPr>
          <w:cantSplit/>
        </w:trPr>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2. Planning Phase</w:t>
            </w:r>
          </w:p>
        </w:tc>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Defining boundaries, sequences, and costs.</w:t>
            </w:r>
          </w:p>
        </w:tc>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Scope decomposition, dependency sequencing, resource loading.</w:t>
            </w:r>
          </w:p>
        </w:tc>
        <w:tc>
          <w:tcPr>
            <w:tcW w:type="dxa" w:w="244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WBS Dictionary, MoSCoW Prioritization, CPM, Bottom-up Budgeting, RACI Matrix.</w:t>
            </w:r>
          </w:p>
        </w:tc>
      </w:tr>
      <w:tr>
        <w:trPr>
          <w:cantSplit/>
        </w:trPr>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3. Execution &amp; Monitoring</w:t>
            </w:r>
          </w:p>
        </w:tc>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Engineering software and controlling variations.</w:t>
            </w:r>
          </w:p>
        </w:tc>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Sequelize models coding, React UI, Stripe Webhooks integration, daily monitoring.</w:t>
            </w:r>
          </w:p>
        </w:tc>
        <w:tc>
          <w:tcPr>
            <w:tcW w:type="dxa" w:w="244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2-Week Scrum Sprints, Git version control, ESLint, Postman testing, EVM trackers.</w:t>
            </w:r>
          </w:p>
        </w:tc>
      </w:tr>
      <w:tr>
        <w:trPr>
          <w:cantSplit/>
        </w:trPr>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4. Closure Phase</w:t>
            </w:r>
          </w:p>
        </w:tc>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Transferring ownership and archiving findings.</w:t>
            </w:r>
          </w:p>
        </w:tc>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UAT checklists validation, production launch, manager training, post-project PIR.</w:t>
            </w:r>
          </w:p>
        </w:tc>
        <w:tc>
          <w:tcPr>
            <w:tcW w:type="dxa" w:w="244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UAT Checklists, Database factoryReset.js script, Lessons Learned database.</w:t>
            </w:r>
          </w:p>
        </w:tc>
      </w:tr>
    </w:tbl>
    <w:p/>
    <w:p>
      <w:pPr>
        <w:pStyle w:val="Heading1"/>
        <w:spacing w:before="240" w:after="120" w:line="276" w:lineRule="auto"/>
      </w:pPr>
      <w:r>
        <w:rPr>
          <w:rFonts w:ascii="Calibri" w:hAnsi="Calibri"/>
          <w:b/>
          <w:color w:val="1F4E79"/>
          <w:sz w:val="36"/>
        </w:rPr>
        <w:t>SECTION 2: THE ROLE AND GOVERNANCE OF THE PROJECT MANAGER</w:t>
      </w:r>
    </w:p>
    <w:p>
      <w:pPr>
        <w:spacing w:line="360" w:lineRule="auto" w:after="240"/>
      </w:pPr>
      <w:r>
        <w:rPr>
          <w:rFonts w:ascii="Calibri" w:hAnsi="Calibri"/>
        </w:rPr>
        <w:t>Managing an IT project like the Gym Management System requires a balance of business strategy, organizational psychology, and technical engineering knowledge. The Project Manager (PM) coordinates all activities, keeping the project within its triple constraint of Scope, Time, and Cost while ensuring overall Quality.</w:t>
      </w:r>
    </w:p>
    <w:p>
      <w:pPr>
        <w:pStyle w:val="Heading2"/>
        <w:spacing w:before="240" w:after="120" w:line="276" w:lineRule="auto"/>
      </w:pPr>
      <w:r>
        <w:rPr>
          <w:rFonts w:ascii="Calibri" w:hAnsi="Calibri"/>
          <w:b/>
          <w:color w:val="595959"/>
          <w:sz w:val="28"/>
        </w:rPr>
        <w:t>2.1 Proposed Balanced Matrix Organizational Structure</w:t>
      </w:r>
    </w:p>
    <w:p>
      <w:pPr>
        <w:spacing w:line="360" w:lineRule="auto" w:after="240"/>
      </w:pPr>
      <w:r>
        <w:rPr>
          <w:rFonts w:ascii="Calibri" w:hAnsi="Calibri"/>
        </w:rPr>
        <w:t>For this project, a Balanced Matrix Organizational Structure was selected. In this design, project team members (such as React frontend developers, Express/Sequelize backend developers, and database specialists) report to both their respective Functional Managers (e.g., Head of Software Development, Lead QA) and to the Project Manager for project-specific activities.</w:t>
      </w:r>
    </w:p>
    <w:p>
      <w:pPr>
        <w:spacing w:line="360" w:lineRule="auto" w:after="240"/>
      </w:pPr>
      <w:r>
        <w:rPr>
          <w:rFonts w:ascii="Calibri" w:hAnsi="Calibri"/>
          <w:b/>
        </w:rPr>
        <w:t xml:space="preserve">1. Optimal Resource Utilization: </w:t>
      </w:r>
      <w:r>
        <w:rPr>
          <w:rFonts w:ascii="Calibri" w:hAnsi="Calibri"/>
        </w:rPr>
        <w:t>Specialists (e.g., Stripe Payment Integrators or Database Administrators) are highly specialized and expensive resources. In a Balanced Matrix, they do not need to be dedicated solely to a single project. They can split their time across projects while remaining centered in their functional home.</w:t>
      </w:r>
    </w:p>
    <w:p>
      <w:pPr>
        <w:spacing w:line="360" w:lineRule="auto" w:after="240"/>
      </w:pPr>
      <w:r>
        <w:rPr>
          <w:rFonts w:ascii="Calibri" w:hAnsi="Calibri"/>
          <w:b/>
        </w:rPr>
        <w:t xml:space="preserve">2. Dedicated Project Focus: </w:t>
      </w:r>
      <w:r>
        <w:rPr>
          <w:rFonts w:ascii="Calibri" w:hAnsi="Calibri"/>
        </w:rPr>
        <w:t>Unlike a weak matrix or a functional structure, the PM in a Balanced Matrix works in a full-time capacity to drive project objectives, manage risks, and monitor the schedule.</w:t>
      </w:r>
    </w:p>
    <w:p>
      <w:pPr>
        <w:spacing w:line="360" w:lineRule="auto" w:after="240"/>
      </w:pPr>
      <w:r>
        <w:rPr>
          <w:rFonts w:ascii="Calibri" w:hAnsi="Calibri"/>
          <w:b/>
        </w:rPr>
        <w:t xml:space="preserve">3. Knowledge Retention: </w:t>
      </w:r>
      <w:r>
        <w:rPr>
          <w:rFonts w:ascii="Calibri" w:hAnsi="Calibri"/>
        </w:rPr>
        <w:t>Developers maintain strong alignment with their functional peers, sharing technical best practices (e.g., using Tailwind v4 or React 19) back to their functional team, ensuring the enterprise retains specialized technical knowledge.</w:t>
      </w:r>
    </w:p>
    <w:p>
      <w:pPr>
        <w:pStyle w:val="Heading2"/>
        <w:spacing w:before="240" w:after="120" w:line="276" w:lineRule="auto"/>
      </w:pPr>
      <w:r>
        <w:rPr>
          <w:rFonts w:ascii="Calibri" w:hAnsi="Calibri"/>
          <w:b/>
          <w:color w:val="595959"/>
          <w:sz w:val="28"/>
        </w:rPr>
        <w:t>2.2 Responsibilities, Authority Levels, and Assigned Goals</w:t>
      </w:r>
    </w:p>
    <w:p>
      <w:pPr>
        <w:spacing w:line="360" w:lineRule="auto" w:after="240"/>
      </w:pPr>
      <w:r>
        <w:rPr>
          <w:rFonts w:ascii="Calibri" w:hAnsi="Calibri"/>
        </w:rPr>
        <w:t>The PM serves as the central hub of project governance. The boundaries of their role are defined as follows:</w:t>
      </w:r>
    </w:p>
    <w:p>
      <w:pPr>
        <w:spacing w:line="360" w:lineRule="auto" w:after="240"/>
      </w:pPr>
      <w:r>
        <w:rPr>
          <w:rFonts w:ascii="Calibri" w:hAnsi="Calibri"/>
          <w:b/>
        </w:rPr>
        <w:t xml:space="preserve">• Key Responsibilities: </w:t>
      </w:r>
      <w:r>
        <w:rPr>
          <w:rFonts w:ascii="Calibri" w:hAnsi="Calibri"/>
        </w:rPr>
        <w:t>Directing the exact features to be engineered (scope control), schedule sequencing, coordinating resource availability, and bridging the communication gap between technical developers and non-technical business clients (such as the Gym Owner and operations staff).</w:t>
      </w:r>
    </w:p>
    <w:p>
      <w:pPr>
        <w:spacing w:line="360" w:lineRule="auto" w:after="240"/>
      </w:pPr>
      <w:r>
        <w:rPr>
          <w:rFonts w:ascii="Calibri" w:hAnsi="Calibri"/>
          <w:b/>
        </w:rPr>
        <w:t xml:space="preserve">• Authority Levels: </w:t>
      </w:r>
      <w:r>
        <w:rPr>
          <w:rFonts w:ascii="Calibri" w:hAnsi="Calibri"/>
        </w:rPr>
        <w:t>The PM has high authority over the allocated $40,000 project budget (authorizing expenditures up to $5,000 without prior steering board sign-off). The PM directs daily task assignments, sprint planning, and performance reviews, but does not have direct authority over hiring or line promotions, which remain with the functional managers.</w:t>
      </w:r>
    </w:p>
    <w:p>
      <w:pPr>
        <w:spacing w:line="360" w:lineRule="auto" w:after="240"/>
      </w:pPr>
      <w:r>
        <w:rPr>
          <w:rFonts w:ascii="Calibri" w:hAnsi="Calibri"/>
          <w:b/>
        </w:rPr>
        <w:t xml:space="preserve">• Assigned Goals: </w:t>
      </w:r>
      <w:r>
        <w:rPr>
          <w:rFonts w:ascii="Calibri" w:hAnsi="Calibri"/>
        </w:rPr>
        <w:t>Complete all phases within the 26-week timeline, deliver the product at or below the $40,000 baseline budget, ensure zero critical payment security compliance failures (Stripe API integration), and achieve a UAT sign-off rating of &gt;= 90%.</w:t>
      </w:r>
    </w:p>
    <w:p>
      <w:pPr>
        <w:pStyle w:val="Heading3"/>
        <w:spacing w:before="240" w:after="120" w:line="276" w:lineRule="auto"/>
      </w:pPr>
      <w:r>
        <w:rPr>
          <w:rFonts w:ascii="Calibri" w:hAnsi="Calibri"/>
          <w:b/>
          <w:color w:val="000000"/>
          <w:sz w:val="24"/>
        </w:rPr>
        <w:t>2.3 Is the PM Responsible for 'Doing' the Project?</w:t>
      </w:r>
    </w:p>
    <w:p>
      <w:pPr>
        <w:spacing w:line="360" w:lineRule="auto" w:after="240"/>
      </w:pPr>
      <w:r>
        <w:rPr>
          <w:rFonts w:ascii="Calibri" w:hAnsi="Calibri"/>
        </w:rPr>
        <w:t>No, the Project Manager is not responsible for 'doing' (executing) the technical work of the project. In project management theory, a clear distinction is drawn between Project Governance and Technical Execution. Technical specialists 'do' the work - writing Javascript controllers, configuring Sequelize models, designing React pages. The PM 'facilitates' the environment for success - managing budgets, tracking schedules, mitigating risks, resolving resource conflicts, and communicating with stakeholders. If a PM attempts to 'do' the coding, it leads to a breakdown in monitoring, stakeholder neglect, and poor risk management, exposing the project to high failure rates.</w:t>
      </w:r>
    </w:p>
    <w:p>
      <w:r>
        <w:br w:type="page"/>
      </w:r>
    </w:p>
    <w:p>
      <w:pPr>
        <w:pStyle w:val="Heading1"/>
        <w:spacing w:before="240" w:after="120" w:line="276" w:lineRule="auto"/>
      </w:pPr>
      <w:r>
        <w:rPr>
          <w:rFonts w:ascii="Calibri" w:hAnsi="Calibri"/>
          <w:b/>
          <w:color w:val="1F4E79"/>
          <w:sz w:val="36"/>
        </w:rPr>
        <w:t>SECTION 3: BUSINESS CASE, FINANCIAL APPRAISALS, AND STAKEHOLDER MANAGEMENT</w:t>
      </w:r>
    </w:p>
    <w:p>
      <w:pPr>
        <w:spacing w:line="360" w:lineRule="auto" w:after="240"/>
      </w:pPr>
      <w:r>
        <w:rPr>
          <w:rFonts w:ascii="Calibri" w:hAnsi="Calibri"/>
        </w:rPr>
        <w:t>The gym currently operates on manual spreadsheets, paper checklists for attendance, and manual bank transfers for membership tracking. This causes substantial revenue leakage (members using facilities with expired plans), manual tracking errors (averaging 15 hours of clerical work per week), and poor class scheduling, leading to high membership churn. The proposed digital Gym Management System automates member profiles, class bookings, payments via Stripe, and attendance via QR code scanners.</w:t>
      </w:r>
    </w:p>
    <w:p>
      <w:pPr>
        <w:pStyle w:val="Heading2"/>
        <w:spacing w:before="240" w:after="120" w:line="276" w:lineRule="auto"/>
      </w:pPr>
      <w:r>
        <w:rPr>
          <w:rFonts w:ascii="Calibri" w:hAnsi="Calibri"/>
          <w:b/>
          <w:color w:val="595959"/>
          <w:sz w:val="28"/>
        </w:rPr>
        <w:t>3.1 Financial Investment Appraisal</w:t>
      </w:r>
    </w:p>
    <w:p>
      <w:pPr>
        <w:spacing w:line="360" w:lineRule="auto" w:after="240"/>
      </w:pPr>
      <w:r>
        <w:rPr>
          <w:rFonts w:ascii="Calibri" w:hAnsi="Calibri"/>
        </w:rPr>
        <w:t>Financial modeling assumes a 6-month development project launching at Year 0. Development Outlay (Year 0) is $40,000. Annual Operating Costs (Years 1-3) are $5,000 (hosting, domain, Stripe platform API charges, and support). Projected savings and inflows from automation and leakage prevention are $20,000 in Year 1, $25,000 in Year 2, and $30,000 in Year 3. A Discount Rate of 10% is used to calculate Net Present Value.</w:t>
      </w:r>
    </w:p>
    <w:p>
      <w:pPr>
        <w:spacing w:line="360" w:lineRule="auto" w:after="240"/>
      </w:pPr>
      <w:r>
        <w:rPr>
          <w:rFonts w:ascii="Calibri" w:hAnsi="Calibri"/>
          <w:b/>
        </w:rPr>
        <w:t xml:space="preserve">1. Net Present Value (NPV): </w:t>
      </w:r>
      <w:r>
        <w:rPr>
          <w:rFonts w:ascii="Calibri" w:hAnsi="Calibri"/>
        </w:rPr>
        <w:t>Calculated using the standard multi-period discounted cash flow equation:</w:t>
      </w:r>
    </w:p>
    <w:p>
      <w:pPr>
        <w:jc w:val="center"/>
      </w:pPr>
      <w:r>
        <w:rPr>
          <w:rFonts w:ascii="Calibri" w:hAnsi="Calibri"/>
          <w:b/>
          <w:sz w:val="20"/>
        </w:rPr>
        <w:t>NPV = [ $15,000 / (1.10)^1 ] + [ $20,000 / (1.10)^2 ] + [ $25,000 / (1.10)^3 ] - $40,000</w:t>
        <w:br/>
        <w:t>NPV = $13,636.36 + $16,528.93 + $18,782.87 - $40,000</w:t>
        <w:br/>
        <w:t>NPV = $48,948.16 - $40,000 = +$8,948.16</w:t>
      </w:r>
    </w:p>
    <w:p>
      <w:pPr>
        <w:spacing w:line="360" w:lineRule="auto" w:after="240"/>
      </w:pPr>
      <w:r>
        <w:rPr>
          <w:rFonts w:ascii="Calibri" w:hAnsi="Calibri"/>
        </w:rPr>
        <w:t>Since the NPV is positive (+$8,948.16), the project recovers its cost of capital and adds economic value. The investment is financially viable.</w:t>
      </w:r>
    </w:p>
    <w:p>
      <w:pPr>
        <w:spacing w:line="360" w:lineRule="auto" w:after="240"/>
      </w:pPr>
      <w:r>
        <w:rPr>
          <w:rFonts w:ascii="Calibri" w:hAnsi="Calibri"/>
          <w:b/>
        </w:rPr>
        <w:t xml:space="preserve">2. Return on Investment (ROI): </w:t>
      </w:r>
      <w:r>
        <w:rPr>
          <w:rFonts w:ascii="Calibri" w:hAnsi="Calibri"/>
        </w:rPr>
        <w:t>ROI = (Total Net Benefits - Total Costs) / Total Costs * 100%</w:t>
      </w:r>
    </w:p>
    <w:p>
      <w:pPr>
        <w:spacing w:line="360" w:lineRule="auto" w:after="240"/>
      </w:pPr>
      <w:r>
        <w:rPr>
          <w:rFonts w:ascii="Calibri" w:hAnsi="Calibri"/>
        </w:rPr>
        <w:t>Total Inflows (3 Years) = $75,000. Total Costs (Initial + Operations) = $55,000. ROI = ($75,000 - $55,000) / $55,000 * 100% = 36.36%.</w:t>
      </w:r>
    </w:p>
    <w:p>
      <w:pPr>
        <w:spacing w:line="360" w:lineRule="auto" w:after="240"/>
      </w:pPr>
      <w:r>
        <w:rPr>
          <w:rFonts w:ascii="Calibri" w:hAnsi="Calibri"/>
          <w:b/>
        </w:rPr>
        <w:t xml:space="preserve">3. Payback Period (PBP): </w:t>
      </w:r>
      <w:r>
        <w:rPr>
          <w:rFonts w:ascii="Calibri" w:hAnsi="Calibri"/>
        </w:rPr>
        <w:t>Recovering the initial $40,000 outlay:</w:t>
      </w:r>
    </w:p>
    <w:p>
      <w:pPr>
        <w:spacing w:line="360" w:lineRule="auto" w:after="240"/>
      </w:pPr>
      <w:r>
        <w:rPr>
          <w:rFonts w:ascii="Calibri" w:hAnsi="Calibri"/>
        </w:rPr>
        <w:t>Year 1 Cumulative Net Inflow = $15,000. Year 2 Cumulative = $35,000 (Remaining = $5,000). Year 3 net is $25,000. PBP = 2 Years + ($5,000 / $25,000) = 2.20 Years.</w:t>
      </w:r>
    </w:p>
    <w:p>
      <w:pPr>
        <w:pStyle w:val="Heading2"/>
        <w:spacing w:before="240" w:after="120" w:line="276" w:lineRule="auto"/>
      </w:pPr>
      <w:r>
        <w:rPr>
          <w:rFonts w:ascii="Calibri" w:hAnsi="Calibri"/>
          <w:b/>
          <w:color w:val="595959"/>
          <w:sz w:val="28"/>
        </w:rPr>
        <w:t>3.2 Evaluation of Internal vs. External Projects</w:t>
      </w:r>
    </w:p>
    <w:p>
      <w:pPr>
        <w:spacing w:line="360" w:lineRule="auto" w:after="240"/>
      </w:pPr>
      <w:r>
        <w:rPr>
          <w:rFonts w:ascii="Calibri" w:hAnsi="Calibri"/>
        </w:rPr>
        <w:t>While financial appraisal methods (NPV, ROI, PBP) can evaluate both internal and external (outsourced) projects, non-financial factors differ. Internal projects focus on organizational alignment, change management, and staff skill development. External projects place heavy focus on vendor risk, transaction costs, legal contracts, IP ownership, and enforcing strict SLA targets.</w:t>
      </w:r>
    </w:p>
    <w:p>
      <w:pPr>
        <w:pStyle w:val="Heading2"/>
        <w:spacing w:before="240" w:after="120" w:line="276" w:lineRule="auto"/>
      </w:pPr>
      <w:r>
        <w:rPr>
          <w:rFonts w:ascii="Calibri" w:hAnsi="Calibri"/>
          <w:b/>
          <w:color w:val="595959"/>
          <w:sz w:val="28"/>
        </w:rPr>
        <w:t>3.3 Stakeholder Management Strategy</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160"/>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Stakeholder Group</w:t>
            </w:r>
          </w:p>
        </w:tc>
        <w:tc>
          <w:tcPr>
            <w:tcW w:type="dxa" w:w="1728"/>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Power / Interest</w:t>
            </w:r>
          </w:p>
        </w:tc>
        <w:tc>
          <w:tcPr>
            <w:tcW w:type="dxa" w:w="2592"/>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Potential Impact</w:t>
            </w:r>
          </w:p>
        </w:tc>
        <w:tc>
          <w:tcPr>
            <w:tcW w:type="dxa" w:w="2880"/>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Management Strategy</w:t>
            </w:r>
          </w:p>
        </w:tc>
      </w:tr>
      <w:tr>
        <w:trPr>
          <w:cantSplit/>
        </w:trPr>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Gym Owner</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High / High</w:t>
            </w:r>
          </w:p>
        </w:tc>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Controls project funding and strategic direction.</w:t>
            </w:r>
          </w:p>
        </w:tc>
        <w:tc>
          <w:tcPr>
            <w:tcW w:type="dxa" w:w="288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Monthly steering meetings, bi-weekly dashboards, budget updates.</w:t>
            </w:r>
          </w:p>
        </w:tc>
      </w:tr>
      <w:tr>
        <w:trPr>
          <w:cantSplit/>
        </w:trPr>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Gym Manager &amp; Staff</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Medium / High</w:t>
            </w:r>
          </w:p>
        </w:tc>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Everyday users of system; adoption drives clerical savings.</w:t>
            </w:r>
          </w:p>
        </w:tc>
        <w:tc>
          <w:tcPr>
            <w:tcW w:type="dxa" w:w="288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Requirements workshops, active prototype feedback, comprehensive hands-on training.</w:t>
            </w:r>
          </w:p>
        </w:tc>
      </w:tr>
      <w:tr>
        <w:trPr>
          <w:cantSplit/>
        </w:trPr>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Gym Members</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Low / High</w:t>
            </w:r>
          </w:p>
        </w:tc>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Direct customers; payment or scan failures cause churn.</w:t>
            </w:r>
          </w:p>
        </w:tc>
        <w:tc>
          <w:tcPr>
            <w:tcW w:type="dxa" w:w="288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Transparent transition notices, system upgrade emails, robust customer support.</w:t>
            </w:r>
          </w:p>
        </w:tc>
      </w:tr>
      <w:tr>
        <w:trPr>
          <w:cantSplit/>
        </w:trPr>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IT / Security DBA Team</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High / Medium</w:t>
            </w:r>
          </w:p>
        </w:tc>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Controls hosting servers and database security parameters.</w:t>
            </w:r>
          </w:p>
        </w:tc>
        <w:tc>
          <w:tcPr>
            <w:tcW w:type="dxa" w:w="288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Involve in database schema reviews, staging migrations, static code security reviews.</w:t>
            </w:r>
          </w:p>
        </w:tc>
      </w:tr>
    </w:tbl>
    <w:p>
      <w:r>
        <w:br w:type="page"/>
      </w:r>
    </w:p>
    <w:p>
      <w:pPr>
        <w:pStyle w:val="Heading1"/>
        <w:spacing w:before="240" w:after="120" w:line="276" w:lineRule="auto"/>
      </w:pPr>
      <w:r>
        <w:rPr>
          <w:rFonts w:ascii="Calibri" w:hAnsi="Calibri"/>
          <w:b/>
          <w:color w:val="1F4E79"/>
          <w:sz w:val="36"/>
        </w:rPr>
        <w:t>SECTION 4: BALANCING PROJECT VARIABLES: SCOPE, TIME, COST, and QUALITY</w:t>
      </w:r>
    </w:p>
    <w:p>
      <w:pPr>
        <w:spacing w:line="360" w:lineRule="auto" w:after="240"/>
      </w:pPr>
      <w:r>
        <w:rPr>
          <w:rFonts w:ascii="Calibri" w:hAnsi="Calibri"/>
        </w:rPr>
        <w:t>Project variables exist in a state of dynamic tension (the 'Iron Triangle'). A change in one directly dictates the performance of the others. To manage these, we decomposed work, modeled sequences, and budgeted meticulously.</w:t>
      </w:r>
    </w:p>
    <w:p>
      <w:pPr>
        <w:pStyle w:val="Heading2"/>
        <w:spacing w:before="240" w:after="120" w:line="276" w:lineRule="auto"/>
      </w:pPr>
      <w:r>
        <w:rPr>
          <w:rFonts w:ascii="Calibri" w:hAnsi="Calibri"/>
          <w:b/>
          <w:color w:val="595959"/>
          <w:sz w:val="28"/>
        </w:rPr>
        <w:t>4.1 Work Breakdown Structure (WBS) Summary</w:t>
      </w:r>
    </w:p>
    <w:p>
      <w:pPr>
        <w:spacing w:line="360" w:lineRule="auto" w:after="240"/>
      </w:pPr>
      <w:r>
        <w:rPr>
          <w:rFonts w:ascii="Calibri" w:hAnsi="Calibri"/>
        </w:rPr>
        <w:t>The project scope was decomposed into a 4-level hierarchal structure to prevent scope creep. Level 1 defines the project, Level 2 represents the major lifecycle phases, Level 3 represents primary deliverables, and Level 4 isolates explicit Work Packages. Key WBS Deliverable branches include: 1.1 Project Management, 1.2 Database &amp; Backend Infrastructure (Sequelize ORM associations, JWT Auth, Stripe Webhook API, Cloudinary Integration), 1.3 React Frontend Engineering (AuthContext.jsx security state, Tailwind UI, react-big-calendar views, QR scanner check-in component), 1.4 QA &amp; Testing, and 1.5 System Deployment &amp; Closure (Sequelize migration script, factoryReset.js verification).</w:t>
      </w:r>
    </w:p>
    <w:p>
      <w:pPr>
        <w:pStyle w:val="Heading2"/>
        <w:spacing w:before="240" w:after="120" w:line="276" w:lineRule="auto"/>
      </w:pPr>
      <w:r>
        <w:rPr>
          <w:rFonts w:ascii="Calibri" w:hAnsi="Calibri"/>
          <w:b/>
          <w:color w:val="595959"/>
          <w:sz w:val="28"/>
        </w:rPr>
        <w:t>4.2 Critical Path Method (CPM) Activity Matrix</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rPr>
          <w:cantSplit/>
          <w:tblHeader/>
        </w:trPr>
        <w:tc>
          <w:tcPr>
            <w:tcW w:type="dxa" w:w="864"/>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ID</w:t>
            </w:r>
          </w:p>
        </w:tc>
        <w:tc>
          <w:tcPr>
            <w:tcW w:type="dxa" w:w="2160"/>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Task Description</w:t>
            </w:r>
          </w:p>
        </w:tc>
        <w:tc>
          <w:tcPr>
            <w:tcW w:type="dxa" w:w="1152"/>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Predecessor</w:t>
            </w:r>
          </w:p>
        </w:tc>
        <w:tc>
          <w:tcPr>
            <w:tcW w:type="dxa" w:w="864"/>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Dur (wks)</w:t>
            </w:r>
          </w:p>
        </w:tc>
        <w:tc>
          <w:tcPr>
            <w:tcW w:type="dxa" w:w="864"/>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ES</w:t>
            </w:r>
          </w:p>
        </w:tc>
        <w:tc>
          <w:tcPr>
            <w:tcW w:type="dxa" w:w="864"/>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EF</w:t>
            </w:r>
          </w:p>
        </w:tc>
        <w:tc>
          <w:tcPr>
            <w:tcW w:type="dxa" w:w="864"/>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LS</w:t>
            </w:r>
          </w:p>
        </w:tc>
        <w:tc>
          <w:tcPr>
            <w:tcW w:type="dxa" w:w="1728"/>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LF</w:t>
            </w:r>
          </w:p>
        </w:tc>
      </w:tr>
      <w:tr>
        <w:trPr>
          <w:cantSplit/>
        </w:trPr>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A</w:t>
            </w:r>
          </w:p>
        </w:tc>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color w:val="C00000"/>
                <w:sz w:val="18"/>
              </w:rPr>
              <w:t>Requirements Analysis</w:t>
            </w:r>
          </w:p>
        </w:tc>
        <w:tc>
          <w:tcPr>
            <w:tcW w:type="dxa" w:w="115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None</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3</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0</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3</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0</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3</w:t>
            </w:r>
          </w:p>
        </w:tc>
      </w:tr>
      <w:tr>
        <w:trPr>
          <w:cantSplit/>
        </w:trPr>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B</w:t>
            </w:r>
          </w:p>
        </w:tc>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color w:val="C00000"/>
                <w:sz w:val="18"/>
              </w:rPr>
              <w:t>Database Schema Design</w:t>
            </w:r>
          </w:p>
        </w:tc>
        <w:tc>
          <w:tcPr>
            <w:tcW w:type="dxa" w:w="115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A</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2</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3</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5</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3</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5</w:t>
            </w:r>
          </w:p>
        </w:tc>
      </w:tr>
      <w:tr>
        <w:trPr>
          <w:cantSplit/>
        </w:trPr>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C</w:t>
            </w:r>
          </w:p>
        </w:tc>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color w:val="C00000"/>
                <w:sz w:val="18"/>
              </w:rPr>
              <w:t>Backend API Engineering</w:t>
            </w:r>
          </w:p>
        </w:tc>
        <w:tc>
          <w:tcPr>
            <w:tcW w:type="dxa" w:w="115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B</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6</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5</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11</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5</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11</w:t>
            </w:r>
          </w:p>
        </w:tc>
      </w:tr>
      <w:tr>
        <w:trPr>
          <w:cantSplit/>
        </w:trPr>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D</w:t>
            </w:r>
          </w:p>
        </w:tc>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Frontend UI Engineering</w:t>
            </w:r>
          </w:p>
        </w:tc>
        <w:tc>
          <w:tcPr>
            <w:tcW w:type="dxa" w:w="115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B</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5</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5</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10</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6</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11</w:t>
            </w:r>
          </w:p>
        </w:tc>
      </w:tr>
      <w:tr>
        <w:trPr>
          <w:cantSplit/>
        </w:trPr>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E</w:t>
            </w:r>
          </w:p>
        </w:tc>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color w:val="C00000"/>
                <w:sz w:val="18"/>
              </w:rPr>
              <w:t>API System Integration</w:t>
            </w:r>
          </w:p>
        </w:tc>
        <w:tc>
          <w:tcPr>
            <w:tcW w:type="dxa" w:w="115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C, D</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3</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11</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14</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11</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14</w:t>
            </w:r>
          </w:p>
        </w:tc>
      </w:tr>
      <w:tr>
        <w:trPr>
          <w:cantSplit/>
        </w:trPr>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F</w:t>
            </w:r>
          </w:p>
        </w:tc>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color w:val="C00000"/>
                <w:sz w:val="18"/>
              </w:rPr>
              <w:t>Stripe Gateway Integration</w:t>
            </w:r>
          </w:p>
        </w:tc>
        <w:tc>
          <w:tcPr>
            <w:tcW w:type="dxa" w:w="115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E</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4</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14</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18</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14</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18</w:t>
            </w:r>
          </w:p>
        </w:tc>
      </w:tr>
      <w:tr>
        <w:trPr>
          <w:cantSplit/>
        </w:trPr>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G</w:t>
            </w:r>
          </w:p>
        </w:tc>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QR Scanning Integration</w:t>
            </w:r>
          </w:p>
        </w:tc>
        <w:tc>
          <w:tcPr>
            <w:tcW w:type="dxa" w:w="115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E</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3</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14</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17</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15</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8"/>
              </w:rPr>
              <w:t>18</w:t>
            </w:r>
          </w:p>
        </w:tc>
      </w:tr>
      <w:tr>
        <w:trPr>
          <w:cantSplit/>
        </w:trPr>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H</w:t>
            </w:r>
          </w:p>
        </w:tc>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color w:val="C00000"/>
                <w:sz w:val="18"/>
              </w:rPr>
              <w:t>System Testing &amp; QA</w:t>
            </w:r>
          </w:p>
        </w:tc>
        <w:tc>
          <w:tcPr>
            <w:tcW w:type="dxa" w:w="115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F, G</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3</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18</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21</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18</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21</w:t>
            </w:r>
          </w:p>
        </w:tc>
      </w:tr>
      <w:tr>
        <w:trPr>
          <w:cantSplit/>
        </w:trPr>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I</w:t>
            </w:r>
          </w:p>
        </w:tc>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color w:val="C00000"/>
                <w:sz w:val="18"/>
              </w:rPr>
              <w:t>User Acceptance Testing</w:t>
            </w:r>
          </w:p>
        </w:tc>
        <w:tc>
          <w:tcPr>
            <w:tcW w:type="dxa" w:w="115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H</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3</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21</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24</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21</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24</w:t>
            </w:r>
          </w:p>
        </w:tc>
      </w:tr>
      <w:tr>
        <w:trPr>
          <w:cantSplit/>
        </w:trPr>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J</w:t>
            </w:r>
          </w:p>
        </w:tc>
        <w:tc>
          <w:tcPr>
            <w:tcW w:type="dxa" w:w="216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color w:val="C00000"/>
                <w:sz w:val="18"/>
              </w:rPr>
              <w:t>Production Handover</w:t>
            </w:r>
          </w:p>
        </w:tc>
        <w:tc>
          <w:tcPr>
            <w:tcW w:type="dxa" w:w="115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I</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2</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24</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26</w:t>
            </w:r>
          </w:p>
        </w:tc>
        <w:tc>
          <w:tcPr>
            <w:tcW w:type="dxa" w:w="864"/>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24</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8"/>
              </w:rPr>
              <w:t>26</w:t>
            </w:r>
          </w:p>
        </w:tc>
      </w:tr>
    </w:tbl>
    <w:p>
      <w:pPr>
        <w:spacing w:line="360" w:lineRule="auto" w:after="240"/>
      </w:pPr>
      <w:r>
        <w:rPr>
          <w:rFonts w:ascii="Calibri" w:hAnsi="Calibri"/>
          <w:b/>
        </w:rPr>
        <w:t xml:space="preserve">• Derived Critical Path: </w:t>
      </w:r>
      <w:r>
        <w:rPr>
          <w:rFonts w:ascii="Calibri" w:hAnsi="Calibri"/>
        </w:rPr>
        <w:t>A → B → C → E → F → H → I → J  (Total Project Duration: 26 Weeks / 6 Months). Tasks D and G have slack values of 1 week each, allowing schedule smoothing.</w:t>
      </w:r>
    </w:p>
    <w:p>
      <w:pPr>
        <w:pStyle w:val="Heading2"/>
        <w:spacing w:before="240" w:after="120" w:line="276" w:lineRule="auto"/>
      </w:pPr>
      <w:r>
        <w:rPr>
          <w:rFonts w:ascii="Calibri" w:hAnsi="Calibri"/>
          <w:b/>
          <w:color w:val="595959"/>
          <w:sz w:val="28"/>
        </w:rPr>
        <w:t>4.3 Project Budget (Bottom-Up Cost Estimation)</w:t>
      </w:r>
    </w:p>
    <w:tbl>
      <w:tblPr>
        <w:tblW w:type="auto" w:w="0"/>
        <w:jc w:val="center"/>
        <w:tblLook w:firstColumn="1" w:firstRow="1" w:lastColumn="0" w:lastRow="0" w:noHBand="0" w:noVBand="1" w:val="04A0"/>
      </w:tblPr>
      <w:tblGrid>
        <w:gridCol w:w="3010"/>
        <w:gridCol w:w="3010"/>
        <w:gridCol w:w="3010"/>
      </w:tblGrid>
      <w:tr>
        <w:trPr>
          <w:cantSplit/>
          <w:tblHeader/>
        </w:trPr>
        <w:tc>
          <w:tcPr>
            <w:tcW w:type="dxa" w:w="3600"/>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Category</w:t>
            </w:r>
          </w:p>
        </w:tc>
        <w:tc>
          <w:tcPr>
            <w:tcW w:type="dxa" w:w="2880"/>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Detailed Cost Component</w:t>
            </w:r>
          </w:p>
        </w:tc>
        <w:tc>
          <w:tcPr>
            <w:tcW w:type="dxa" w:w="2880"/>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Subtotal ($)</w:t>
            </w:r>
          </w:p>
        </w:tc>
      </w:tr>
      <w:tr>
        <w:trPr>
          <w:cantSplit/>
        </w:trPr>
        <w:tc>
          <w:tcPr>
            <w:tcW w:type="dxa" w:w="360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1. Human Resources (Labor)</w:t>
            </w:r>
          </w:p>
        </w:tc>
        <w:tc>
          <w:tcPr>
            <w:tcW w:type="dxa" w:w="288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PM ($12k), Lead Dev ($12.5k), Frontend Dev ($7k), QA ($2.5k)</w:t>
            </w:r>
          </w:p>
        </w:tc>
        <w:tc>
          <w:tcPr>
            <w:tcW w:type="dxa" w:w="288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$34,000</w:t>
            </w:r>
          </w:p>
        </w:tc>
      </w:tr>
      <w:tr>
        <w:trPr>
          <w:cantSplit/>
        </w:trPr>
        <w:tc>
          <w:tcPr>
            <w:tcW w:type="dxa" w:w="360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2. Tools &amp; Software</w:t>
            </w:r>
          </w:p>
        </w:tc>
        <w:tc>
          <w:tcPr>
            <w:tcW w:type="dxa" w:w="288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Stripe sandbox access ($500), Cloudinary hosting ($500), IDEs &amp; Jira ($500)</w:t>
            </w:r>
          </w:p>
        </w:tc>
        <w:tc>
          <w:tcPr>
            <w:tcW w:type="dxa" w:w="288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$1,500</w:t>
            </w:r>
          </w:p>
        </w:tc>
      </w:tr>
      <w:tr>
        <w:trPr>
          <w:cantSplit/>
        </w:trPr>
        <w:tc>
          <w:tcPr>
            <w:tcW w:type="dxa" w:w="360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3. Infrastructure / Hardware</w:t>
            </w:r>
          </w:p>
        </w:tc>
        <w:tc>
          <w:tcPr>
            <w:tcW w:type="dxa" w:w="288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Staging VPS Node ($300), Cloud DB ($200), QR physical scanners ($500)</w:t>
            </w:r>
          </w:p>
        </w:tc>
        <w:tc>
          <w:tcPr>
            <w:tcW w:type="dxa" w:w="288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$1,000</w:t>
            </w:r>
          </w:p>
        </w:tc>
      </w:tr>
      <w:tr>
        <w:trPr>
          <w:cantSplit/>
        </w:trPr>
        <w:tc>
          <w:tcPr>
            <w:tcW w:type="dxa" w:w="360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4. Contingency Reserves</w:t>
            </w:r>
          </w:p>
        </w:tc>
        <w:tc>
          <w:tcPr>
            <w:tcW w:type="dxa" w:w="288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Technical Risk reserves ($3.5k), Business Management reserves ($1.5k)</w:t>
            </w:r>
          </w:p>
        </w:tc>
        <w:tc>
          <w:tcPr>
            <w:tcW w:type="dxa" w:w="288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$5,000</w:t>
            </w:r>
          </w:p>
        </w:tc>
      </w:tr>
    </w:tbl>
    <w:p>
      <w:pPr>
        <w:spacing w:before="120" w:after="240"/>
      </w:pPr>
      <w:r>
        <w:rPr>
          <w:rFonts w:ascii="Calibri" w:hAnsi="Calibri"/>
          <w:b/>
          <w:sz w:val="22"/>
        </w:rPr>
        <w:t>TOTAL BASELINE BUDGET: $40,000</w:t>
      </w:r>
    </w:p>
    <w:p>
      <w:r>
        <w:br w:type="page"/>
      </w:r>
    </w:p>
    <w:p>
      <w:pPr>
        <w:pStyle w:val="Heading1"/>
        <w:spacing w:before="240" w:after="120" w:line="276" w:lineRule="auto"/>
      </w:pPr>
      <w:r>
        <w:rPr>
          <w:rFonts w:ascii="Calibri" w:hAnsi="Calibri"/>
          <w:b/>
          <w:color w:val="1F4E79"/>
          <w:sz w:val="36"/>
        </w:rPr>
        <w:t>SECTION 5: RESOURCE MOBILIZATION AND PROJECT PERFORMANCE MONITORING</w:t>
      </w:r>
    </w:p>
    <w:p>
      <w:pPr>
        <w:spacing w:line="360" w:lineRule="auto" w:after="240"/>
      </w:pPr>
      <w:r>
        <w:rPr>
          <w:rFonts w:ascii="Calibri" w:hAnsi="Calibri"/>
        </w:rPr>
        <w:t>Efficient execution relies on mobilizing the human resources and applying metric-driven monitoring tools.</w:t>
      </w:r>
    </w:p>
    <w:p>
      <w:pPr>
        <w:pStyle w:val="Heading2"/>
        <w:spacing w:before="240" w:after="120" w:line="276" w:lineRule="auto"/>
      </w:pPr>
      <w:r>
        <w:rPr>
          <w:rFonts w:ascii="Calibri" w:hAnsi="Calibri"/>
          <w:b/>
          <w:color w:val="595959"/>
          <w:sz w:val="28"/>
        </w:rPr>
        <w:t>5.1 RACI Responsibility Assignment Matrix</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rPr>
          <w:cantSplit/>
          <w:tblHeader/>
        </w:trPr>
        <w:tc>
          <w:tcPr>
            <w:tcW w:type="dxa" w:w="2592"/>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WBS Task Node</w:t>
            </w:r>
          </w:p>
        </w:tc>
        <w:tc>
          <w:tcPr>
            <w:tcW w:type="dxa" w:w="1008"/>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PM</w:t>
            </w:r>
          </w:p>
        </w:tc>
        <w:tc>
          <w:tcPr>
            <w:tcW w:type="dxa" w:w="1008"/>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LD</w:t>
            </w:r>
          </w:p>
        </w:tc>
        <w:tc>
          <w:tcPr>
            <w:tcW w:type="dxa" w:w="1008"/>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FD</w:t>
            </w:r>
          </w:p>
        </w:tc>
        <w:tc>
          <w:tcPr>
            <w:tcW w:type="dxa" w:w="1008"/>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QA</w:t>
            </w:r>
          </w:p>
        </w:tc>
        <w:tc>
          <w:tcPr>
            <w:tcW w:type="dxa" w:w="1008"/>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DBA</w:t>
            </w:r>
          </w:p>
        </w:tc>
        <w:tc>
          <w:tcPr>
            <w:tcW w:type="dxa" w:w="1728"/>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Sponsor</w:t>
            </w:r>
          </w:p>
        </w:tc>
      </w:tr>
      <w:tr>
        <w:trPr>
          <w:cantSplit/>
        </w:trPr>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jc w:val="left"/>
            </w:pPr>
            <w:r>
              <w:rPr>
                <w:rFonts w:ascii="Calibri" w:hAnsi="Calibri"/>
                <w:b/>
                <w:sz w:val="19"/>
              </w:rPr>
              <w:t>1.1.1 Project Charter</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b/>
                <w:color w:val="1F4E79"/>
                <w:sz w:val="19"/>
              </w:rPr>
              <w:t>A</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C</w:t>
            </w:r>
          </w:p>
        </w:tc>
      </w:tr>
      <w:tr>
        <w:trPr>
          <w:cantSplit/>
        </w:trPr>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jc w:val="left"/>
            </w:pPr>
            <w:r>
              <w:rPr>
                <w:rFonts w:ascii="Calibri" w:hAnsi="Calibri"/>
                <w:b/>
                <w:sz w:val="19"/>
              </w:rPr>
              <w:t>1.2.1 DB Sequelize Schema</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b/>
                <w:color w:val="1F4E79"/>
                <w:sz w:val="19"/>
              </w:rPr>
              <w:t>R</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C</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b/>
                <w:color w:val="1F4E79"/>
                <w:sz w:val="19"/>
              </w:rPr>
              <w:t>A</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r>
      <w:tr>
        <w:trPr>
          <w:cantSplit/>
        </w:trPr>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jc w:val="left"/>
            </w:pPr>
            <w:r>
              <w:rPr>
                <w:rFonts w:ascii="Calibri" w:hAnsi="Calibri"/>
                <w:b/>
                <w:sz w:val="19"/>
              </w:rPr>
              <w:t>1.3.1 AuthContext Authentication</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C</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b/>
                <w:color w:val="1F4E79"/>
                <w:sz w:val="19"/>
              </w:rPr>
              <w:t>R</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b/>
                <w:color w:val="1F4E79"/>
                <w:sz w:val="19"/>
              </w:rPr>
              <w:t>A</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r>
      <w:tr>
        <w:trPr>
          <w:cantSplit/>
        </w:trPr>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jc w:val="left"/>
            </w:pPr>
            <w:r>
              <w:rPr>
                <w:rFonts w:ascii="Calibri" w:hAnsi="Calibri"/>
                <w:b/>
                <w:sz w:val="19"/>
              </w:rPr>
              <w:t>1.3.3.2 QR Scanner UI component</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C</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b/>
                <w:color w:val="1F4E79"/>
                <w:sz w:val="19"/>
              </w:rPr>
              <w:t>R</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C</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r>
      <w:tr>
        <w:trPr>
          <w:cantSplit/>
        </w:trPr>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jc w:val="left"/>
            </w:pPr>
            <w:r>
              <w:rPr>
                <w:rFonts w:ascii="Calibri" w:hAnsi="Calibri"/>
                <w:b/>
                <w:sz w:val="19"/>
              </w:rPr>
              <w:t>1.2.3.1 Stripe API Services</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C</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b/>
                <w:color w:val="1F4E79"/>
                <w:sz w:val="19"/>
              </w:rPr>
              <w:t>R</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C</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b/>
                <w:color w:val="1F4E79"/>
                <w:sz w:val="19"/>
              </w:rPr>
              <w:t>A</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r>
      <w:tr>
        <w:trPr>
          <w:cantSplit/>
        </w:trPr>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jc w:val="left"/>
            </w:pPr>
            <w:r>
              <w:rPr>
                <w:rFonts w:ascii="Calibri" w:hAnsi="Calibri"/>
                <w:b/>
                <w:sz w:val="19"/>
              </w:rPr>
              <w:t>1.4.3 Stripe Sandbox testing</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C</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C</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b/>
                <w:color w:val="1F4E79"/>
                <w:sz w:val="19"/>
              </w:rPr>
              <w:t>R</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b/>
                <w:color w:val="1F4E79"/>
                <w:sz w:val="19"/>
              </w:rPr>
              <w:t>A</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r>
      <w:tr>
        <w:trPr>
          <w:cantSplit/>
        </w:trPr>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jc w:val="left"/>
            </w:pPr>
            <w:r>
              <w:rPr>
                <w:rFonts w:ascii="Calibri" w:hAnsi="Calibri"/>
                <w:b/>
                <w:sz w:val="19"/>
              </w:rPr>
              <w:t>1.5.3 Training and Handover</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b/>
                <w:color w:val="1F4E79"/>
                <w:sz w:val="19"/>
              </w:rPr>
              <w:t>R</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C</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C</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c>
          <w:tcPr>
            <w:tcW w:type="dxa" w:w="100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sz w:val="19"/>
              </w:rPr>
              <w:t>I</w:t>
            </w:r>
          </w:p>
        </w:tc>
        <w:tc>
          <w:tcPr>
            <w:tcW w:type="dxa" w:w="1728"/>
            <w:vAlign w:val="center"/>
            <w:tcMar>
              <w:top w:w="140" w:type="dxa"/>
              <w:bottom w:w="140" w:type="dxa"/>
              <w:left w:w="180" w:type="dxa"/>
              <w:right w:w="180" w:type="dxa"/>
            </w:tcMar>
            <w:tcBorders>
              <w:top w:sz="4" w:val="single" w:color="D3D3D3"/>
              <w:bottom w:sz="4" w:val="single" w:color="D3D3D3"/>
            </w:tcBorders>
          </w:tcPr>
          <w:p>
            <w:pPr>
              <w:spacing w:line="276" w:lineRule="auto" w:after="40"/>
              <w:jc w:val="center"/>
            </w:pPr>
            <w:r>
              <w:rPr>
                <w:rFonts w:ascii="Calibri" w:hAnsi="Calibri"/>
                <w:b/>
                <w:color w:val="1F4E79"/>
                <w:sz w:val="19"/>
              </w:rPr>
              <w:t>A</w:t>
            </w:r>
          </w:p>
        </w:tc>
      </w:tr>
    </w:tbl>
    <w:p>
      <w:pPr>
        <w:spacing w:line="360" w:lineRule="auto" w:after="240"/>
      </w:pPr>
      <w:r>
        <w:rPr>
          <w:rFonts w:ascii="Calibri" w:hAnsi="Calibri"/>
        </w:rPr>
      </w:r>
    </w:p>
    <w:p>
      <w:pPr>
        <w:pStyle w:val="Heading2"/>
        <w:spacing w:before="240" w:after="120" w:line="276" w:lineRule="auto"/>
      </w:pPr>
      <w:r>
        <w:rPr>
          <w:rFonts w:ascii="Calibri" w:hAnsi="Calibri"/>
          <w:b/>
          <w:color w:val="595959"/>
          <w:sz w:val="28"/>
        </w:rPr>
        <w:t>5.2 Project Performance Monitoring &amp; Controls</w:t>
      </w:r>
    </w:p>
    <w:p>
      <w:pPr>
        <w:spacing w:line="360" w:lineRule="auto" w:after="240"/>
      </w:pPr>
      <w:r>
        <w:rPr>
          <w:rFonts w:ascii="Calibri" w:hAnsi="Calibri"/>
          <w:b/>
        </w:rPr>
        <w:t xml:space="preserve">1. Scope Control (CCB): </w:t>
      </w:r>
      <w:r>
        <w:rPr>
          <w:rFonts w:ascii="Calibri" w:hAnsi="Calibri"/>
        </w:rPr>
        <w:t>All scope revisions were routed through a formal Change Control Board. When a late feature request for advanced trainer equipment scheduling was raised, its cost ($2k) and schedule (2w delay) impacts were analyzed. The CCB deferred this module to a post-release phase to protect the project baseline.</w:t>
      </w:r>
    </w:p>
    <w:p>
      <w:pPr>
        <w:spacing w:line="360" w:lineRule="auto" w:after="240"/>
      </w:pPr>
      <w:r>
        <w:rPr>
          <w:rFonts w:ascii="Calibri" w:hAnsi="Calibri"/>
          <w:b/>
        </w:rPr>
        <w:t xml:space="preserve">2. Schedule Control (EVM &amp; SPI): </w:t>
      </w:r>
      <w:r>
        <w:rPr>
          <w:rFonts w:ascii="Calibri" w:hAnsi="Calibri"/>
        </w:rPr>
        <w:t>EVM was measured bi-weekly. In week 12, Stripe integration delays resulted in a Planned Value (PV) of $22k and an Earned Value (EV) of $19.8k, translating to a Schedule Performance Index (SPI) of 0.90 (behind schedule). The PM crashed the schedule by shifting frontend help to support Stripe integration testing, restoring schedule alignment.</w:t>
      </w:r>
    </w:p>
    <w:p>
      <w:pPr>
        <w:spacing w:line="360" w:lineRule="auto" w:after="240"/>
      </w:pPr>
      <w:r>
        <w:rPr>
          <w:rFonts w:ascii="Calibri" w:hAnsi="Calibri"/>
          <w:b/>
        </w:rPr>
        <w:t xml:space="preserve">3. Cost Control (EVM &amp; CPI): </w:t>
      </w:r>
      <w:r>
        <w:rPr>
          <w:rFonts w:ascii="Calibri" w:hAnsi="Calibri"/>
        </w:rPr>
        <w:t>By week 18, the project achieved an EV of $30k against an Actual Cost (AC) of $28.5k, resulting in a Cost Performance Index (CPI) of 1.05 (under budget). The PM maintained this buffer to offset final deployment and migration costs.</w:t>
      </w:r>
    </w:p>
    <w:p>
      <w:r>
        <w:br w:type="page"/>
      </w:r>
    </w:p>
    <w:p>
      <w:pPr>
        <w:pStyle w:val="Heading1"/>
        <w:spacing w:before="240" w:after="120" w:line="276" w:lineRule="auto"/>
      </w:pPr>
      <w:r>
        <w:rPr>
          <w:rFonts w:ascii="Calibri" w:hAnsi="Calibri"/>
          <w:b/>
          <w:color w:val="1F4E79"/>
          <w:sz w:val="36"/>
        </w:rPr>
        <w:t>SECTION 6: RISK IDENTIFICATION, QUANTIFYING, AND CONTROL STRATEGIES</w:t>
      </w:r>
    </w:p>
    <w:p>
      <w:pPr>
        <w:spacing w:line="360" w:lineRule="auto" w:after="240"/>
      </w:pPr>
      <w:r>
        <w:rPr>
          <w:rFonts w:ascii="Calibri" w:hAnsi="Calibri"/>
        </w:rPr>
        <w:t>Software delivery is subject to technological, business, and operational uncertainties. We managed risk through continuous analysis and structured response strategies.</w:t>
      </w:r>
    </w:p>
    <w:p>
      <w:pPr>
        <w:pStyle w:val="Heading2"/>
        <w:spacing w:before="240" w:after="120" w:line="276" w:lineRule="auto"/>
      </w:pPr>
      <w:r>
        <w:rPr>
          <w:rFonts w:ascii="Calibri" w:hAnsi="Calibri"/>
          <w:b/>
          <w:color w:val="595959"/>
          <w:sz w:val="28"/>
        </w:rPr>
        <w:t>6.1 Risk Register</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Identified Risk Event</w:t>
            </w:r>
          </w:p>
        </w:tc>
        <w:tc>
          <w:tcPr>
            <w:tcW w:type="dxa" w:w="1440"/>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Prob / Impact</w:t>
            </w:r>
          </w:p>
        </w:tc>
        <w:tc>
          <w:tcPr>
            <w:tcW w:type="dxa" w:w="1440"/>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Risk Score</w:t>
            </w:r>
          </w:p>
        </w:tc>
        <w:tc>
          <w:tcPr>
            <w:tcW w:type="dxa" w:w="3888"/>
            <w:vAlign w:val="center"/>
            <w:tcMar>
              <w:top w:w="140" w:type="dxa"/>
              <w:bottom w:w="140" w:type="dxa"/>
              <w:left w:w="180" w:type="dxa"/>
              <w:right w:w="180" w:type="dxa"/>
            </w:tcMar>
            <w:tcBorders>
              <w:top w:sz="4" w:val="single" w:color="D3D3D3"/>
              <w:bottom w:sz="4" w:val="single" w:color="D3D3D3"/>
            </w:tcBorders>
            <w:shd w:fill="1F4E79"/>
            <w:tcBorders>
              <w:top w:sz="4" w:val="single" w:color="1F4E79"/>
              <w:bottom w:sz="12" w:val="single" w:color="000000"/>
            </w:tcBorders>
          </w:tcPr>
          <w:p>
            <w:pPr>
              <w:spacing w:before="80" w:after="80"/>
              <w:jc w:val="left"/>
            </w:pPr>
            <w:r>
              <w:rPr>
                <w:rFonts w:ascii="Calibri" w:hAnsi="Calibri"/>
                <w:b/>
                <w:color w:val="FFFFFF"/>
                <w:sz w:val="21"/>
              </w:rPr>
              <w:t>Mitigation / Contingency Strategy</w:t>
            </w:r>
          </w:p>
        </w:tc>
      </w:tr>
      <w:tr>
        <w:trPr>
          <w:cantSplit/>
        </w:trPr>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Stripe Webhook API changes or token processing error.</w:t>
            </w:r>
          </w:p>
        </w:tc>
        <w:tc>
          <w:tcPr>
            <w:tcW w:type="dxa" w:w="144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Low / High</w:t>
            </w:r>
          </w:p>
        </w:tc>
        <w:tc>
          <w:tcPr>
            <w:tcW w:type="dxa" w:w="144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Medium-High</w:t>
            </w:r>
          </w:p>
        </w:tc>
        <w:tc>
          <w:tcPr>
            <w:tcW w:type="dxa" w:w="388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Utilize official Stripe SDK libraries, secure keys in .env, and test in local Staging Webhook CLI dry runs.</w:t>
            </w:r>
          </w:p>
        </w:tc>
      </w:tr>
      <w:tr>
        <w:trPr>
          <w:cantSplit/>
        </w:trPr>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Database Migration errors during deployment migration.</w:t>
            </w:r>
          </w:p>
        </w:tc>
        <w:tc>
          <w:tcPr>
            <w:tcW w:type="dxa" w:w="144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Med / High</w:t>
            </w:r>
          </w:p>
        </w:tc>
        <w:tc>
          <w:tcPr>
            <w:tcW w:type="dxa" w:w="144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High</w:t>
            </w:r>
          </w:p>
        </w:tc>
        <w:tc>
          <w:tcPr>
            <w:tcW w:type="dxa" w:w="388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Use automated Sequelize migration files, dry-run on copy schema, and test rollback scripts using factoryReset.js.</w:t>
            </w:r>
          </w:p>
        </w:tc>
      </w:tr>
      <w:tr>
        <w:trPr>
          <w:cantSplit/>
        </w:trPr>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Low user adoption of the digital check-in QR scanner.</w:t>
            </w:r>
          </w:p>
        </w:tc>
        <w:tc>
          <w:tcPr>
            <w:tcW w:type="dxa" w:w="144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Med / Med</w:t>
            </w:r>
          </w:p>
        </w:tc>
        <w:tc>
          <w:tcPr>
            <w:tcW w:type="dxa" w:w="144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Medium</w:t>
            </w:r>
          </w:p>
        </w:tc>
        <w:tc>
          <w:tcPr>
            <w:tcW w:type="dxa" w:w="388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Provide clear reception signs, visual mobile prompts on dashboards, and manual check-in options as fallbacks.</w:t>
            </w:r>
          </w:p>
        </w:tc>
      </w:tr>
      <w:tr>
        <w:trPr>
          <w:cantSplit/>
        </w:trPr>
        <w:tc>
          <w:tcPr>
            <w:tcW w:type="dxa" w:w="2592"/>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b/>
                <w:sz w:val="19"/>
              </w:rPr>
              <w:t>VPS Cloud hosting hardware or system server failure.</w:t>
            </w:r>
          </w:p>
        </w:tc>
        <w:tc>
          <w:tcPr>
            <w:tcW w:type="dxa" w:w="144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Low / High</w:t>
            </w:r>
          </w:p>
        </w:tc>
        <w:tc>
          <w:tcPr>
            <w:tcW w:type="dxa" w:w="1440"/>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Medium</w:t>
            </w:r>
          </w:p>
        </w:tc>
        <w:tc>
          <w:tcPr>
            <w:tcW w:type="dxa" w:w="3888"/>
            <w:vAlign w:val="center"/>
            <w:tcMar>
              <w:top w:w="140" w:type="dxa"/>
              <w:bottom w:w="140" w:type="dxa"/>
              <w:left w:w="180" w:type="dxa"/>
              <w:right w:w="180" w:type="dxa"/>
            </w:tcMar>
            <w:tcBorders>
              <w:top w:sz="4" w:val="single" w:color="D3D3D3"/>
              <w:bottom w:sz="4" w:val="single" w:color="D3D3D3"/>
            </w:tcBorders>
          </w:tcPr>
          <w:p>
            <w:pPr>
              <w:spacing w:line="276" w:lineRule="auto" w:after="40"/>
            </w:pPr>
            <w:r>
              <w:rPr>
                <w:rFonts w:ascii="Calibri" w:hAnsi="Calibri"/>
                <w:sz w:val="19"/>
              </w:rPr>
              <w:t>Use robust cloud providers (AWS/DigitalOcean) with 99.9% uptime SLA and schedule automated daily offsite database backups.</w:t>
            </w:r>
          </w:p>
        </w:tc>
      </w:tr>
    </w:tbl>
    <w:p>
      <w:pPr>
        <w:spacing w:line="360" w:lineRule="auto" w:after="240"/>
      </w:pPr>
      <w:r>
        <w:rPr>
          <w:rFonts w:ascii="Calibri" w:hAnsi="Calibri"/>
        </w:rPr>
      </w:r>
    </w:p>
    <w:p>
      <w:pPr>
        <w:pStyle w:val="Heading2"/>
        <w:spacing w:before="240" w:after="120" w:line="276" w:lineRule="auto"/>
      </w:pPr>
      <w:r>
        <w:rPr>
          <w:rFonts w:ascii="Calibri" w:hAnsi="Calibri"/>
          <w:b/>
          <w:color w:val="595959"/>
          <w:sz w:val="28"/>
        </w:rPr>
        <w:t>6.2 Managing Unforeseen Risks: A Project Example</w:t>
      </w:r>
    </w:p>
    <w:p>
      <w:pPr>
        <w:spacing w:line="360" w:lineRule="auto" w:after="240"/>
      </w:pPr>
      <w:r>
        <w:rPr>
          <w:rFonts w:ascii="Calibri" w:hAnsi="Calibri"/>
        </w:rPr>
        <w:t>While structured registers handle foreseen risks, projects must adapt to 'Unknown Unknowns' (Black Swan events). During Week 20, after integrating the React QR scanner browser component, a major web browser update was pushed to iOS mobile devices. This update altered camera security permission rules, immediately blocking the web-based QR scanner component and causing member check-ins to fail at the door.</w:t>
      </w:r>
    </w:p>
    <w:p>
      <w:pPr>
        <w:spacing w:line="360" w:lineRule="auto" w:after="240"/>
      </w:pPr>
      <w:r>
        <w:rPr>
          <w:rFonts w:ascii="Calibri" w:hAnsi="Calibri"/>
        </w:rPr>
        <w:t>To manage this unforeseen blocker: 1. The PM authorized an immediate 2-day technical review (Agile tech spike) to research the security update. 2. The team developed a fallback frontend feature allowing manual member ID entry on reception screens if camera permissions failed. 3. The PM allocated $1,500 from the Management Reserve to cover these emergency developer hours. This experience demonstrates that agile adaptability and financial contingency reserves are essential to managing unforeseen technical changes.</w:t>
      </w:r>
    </w:p>
    <w:p>
      <w:r>
        <w:br w:type="page"/>
      </w:r>
    </w:p>
    <w:p>
      <w:pPr>
        <w:pStyle w:val="Heading1"/>
        <w:spacing w:before="240" w:after="120" w:line="276" w:lineRule="auto"/>
      </w:pPr>
      <w:r>
        <w:rPr>
          <w:rFonts w:ascii="Calibri" w:hAnsi="Calibri"/>
          <w:b/>
          <w:color w:val="1F4E79"/>
          <w:sz w:val="36"/>
        </w:rPr>
        <w:t>SECTION 7: PROJECT CLOSURE, EVALUATION, AND HANDOVER OPERATIONS</w:t>
      </w:r>
    </w:p>
    <w:p>
      <w:pPr>
        <w:spacing w:line="360" w:lineRule="auto" w:after="240"/>
      </w:pPr>
      <w:r>
        <w:rPr>
          <w:rFonts w:ascii="Calibri" w:hAnsi="Calibri"/>
        </w:rPr>
        <w:t>Project closure formalizes the end of developmental phases, transitions the product to steady-state operations, and captures lessons learned to improve future projects.</w:t>
      </w:r>
    </w:p>
    <w:p>
      <w:pPr>
        <w:pStyle w:val="Heading2"/>
        <w:spacing w:before="240" w:after="120" w:line="276" w:lineRule="auto"/>
      </w:pPr>
      <w:r>
        <w:rPr>
          <w:rFonts w:ascii="Calibri" w:hAnsi="Calibri"/>
          <w:b/>
          <w:color w:val="595959"/>
          <w:sz w:val="28"/>
        </w:rPr>
        <w:t>7.1 Success Criteria and Challenges</w:t>
      </w:r>
    </w:p>
    <w:p>
      <w:pPr>
        <w:spacing w:line="360" w:lineRule="auto" w:after="240"/>
      </w:pPr>
      <w:r>
        <w:rPr>
          <w:rFonts w:ascii="Calibri" w:hAnsi="Calibri"/>
          <w:b/>
        </w:rPr>
        <w:t xml:space="preserve">• Scope, Schedule &amp; Budget Met: </w:t>
      </w:r>
      <w:r>
        <w:rPr>
          <w:rFonts w:ascii="Calibri" w:hAnsi="Calibri"/>
        </w:rPr>
        <w:t>All core requirements (Stripe subscriptions, scheduling calendars, and QR scans) were successfully deployed within the 26-week schedule and the $40,000 budget baseline, leaving the 10% contingency buffer intact.</w:t>
      </w:r>
    </w:p>
    <w:p>
      <w:pPr>
        <w:spacing w:line="360" w:lineRule="auto" w:after="240"/>
      </w:pPr>
      <w:r>
        <w:rPr>
          <w:rFonts w:ascii="Calibri" w:hAnsi="Calibri"/>
          <w:b/>
        </w:rPr>
        <w:t xml:space="preserve">• Security &amp; UAT Accomplished: </w:t>
      </w:r>
      <w:r>
        <w:rPr>
          <w:rFonts w:ascii="Calibri" w:hAnsi="Calibri"/>
        </w:rPr>
        <w:t>User passwords are encrypted with bcrypt, system routes are secured using JWT tokens, page loading times remain under 2.0 seconds, and the client signed off on UAT with a high positive adoption rating.</w:t>
      </w:r>
    </w:p>
    <w:p>
      <w:pPr>
        <w:spacing w:line="360" w:lineRule="auto" w:after="240"/>
      </w:pPr>
      <w:r>
        <w:rPr>
          <w:rFonts w:ascii="Calibri" w:hAnsi="Calibri"/>
          <w:b/>
        </w:rPr>
        <w:t xml:space="preserve">• Operational Challenges Solved: </w:t>
      </w:r>
      <w:r>
        <w:rPr>
          <w:rFonts w:ascii="Calibri" w:hAnsi="Calibri"/>
        </w:rPr>
        <w:t>Key challenges included scrubbing and parsing inconsistent legacy spreadsheets before database import, and addressing asynchronous webhook latency from Stripe (mitigated by configuring robust event listener retry queues).</w:t>
      </w:r>
    </w:p>
    <w:p>
      <w:pPr>
        <w:pStyle w:val="Heading2"/>
        <w:spacing w:before="240" w:after="120" w:line="276" w:lineRule="auto"/>
      </w:pPr>
      <w:r>
        <w:rPr>
          <w:rFonts w:ascii="Calibri" w:hAnsi="Calibri"/>
          <w:b/>
          <w:color w:val="595959"/>
          <w:sz w:val="28"/>
        </w:rPr>
        <w:t>7.2 Post-Project Lifecycle Tasks</w:t>
      </w:r>
    </w:p>
    <w:p>
      <w:pPr>
        <w:spacing w:line="360" w:lineRule="auto" w:after="240"/>
      </w:pPr>
      <w:r>
        <w:rPr>
          <w:rFonts w:ascii="Calibri" w:hAnsi="Calibri"/>
        </w:rPr>
        <w:t>A project does not simply end when coding is completed. The post-project phase is critical to ensuring operational sustainability and maximizing the return on investment.</w:t>
      </w:r>
    </w:p>
    <w:p>
      <w:pPr>
        <w:spacing w:line="360" w:lineRule="auto" w:after="240"/>
      </w:pPr>
      <w:r>
        <w:rPr>
          <w:rFonts w:ascii="Calibri" w:hAnsi="Calibri"/>
          <w:b/>
        </w:rPr>
        <w:t xml:space="preserve">1. Administrative Handover Tasks: </w:t>
      </w:r>
      <w:r>
        <w:rPr>
          <w:rFonts w:ascii="Calibri" w:hAnsi="Calibri"/>
        </w:rPr>
        <w:t>Delivery of automated system scripts (such as factoryReset.js) allowing staging sandboxes to be reset safely. Transfer of technical documentations, Sequelize migrations configurations, API documentation, and staff operational manuals.</w:t>
      </w:r>
    </w:p>
    <w:p>
      <w:pPr>
        <w:spacing w:line="360" w:lineRule="auto" w:after="240"/>
      </w:pPr>
      <w:r>
        <w:rPr>
          <w:rFonts w:ascii="Calibri" w:hAnsi="Calibri"/>
          <w:b/>
        </w:rPr>
        <w:t xml:space="preserve">2. Support &amp; Warranty Period: </w:t>
      </w:r>
      <w:r>
        <w:rPr>
          <w:rFonts w:ascii="Calibri" w:hAnsi="Calibri"/>
        </w:rPr>
        <w:t>A 30-day warranty window was established post-launch, with developers resolving any critical bugs at no additional cost to the gym.</w:t>
      </w:r>
    </w:p>
    <w:p>
      <w:pPr>
        <w:spacing w:line="360" w:lineRule="auto" w:after="240"/>
      </w:pPr>
      <w:r>
        <w:rPr>
          <w:rFonts w:ascii="Calibri" w:hAnsi="Calibri"/>
          <w:b/>
        </w:rPr>
        <w:t xml:space="preserve">3. Post-Implementation Review (PIR): </w:t>
      </w:r>
      <w:r>
        <w:rPr>
          <w:rFonts w:ascii="Calibri" w:hAnsi="Calibri"/>
        </w:rPr>
        <w:t>Conducted 90 days after go-live, the PIR measures actual business benefits against the initial business case goals. Results confirmed that administrative bookkeeping decreased from 15 hours/week to 45 minutes/week, Stripe automated renewals eliminated payment leakage, and customer satisfaction surveys achieved a 94% approval rating.</w:t>
      </w:r>
    </w:p>
    <w:p>
      <w:pPr>
        <w:spacing w:line="360" w:lineRule="auto" w:after="240"/>
      </w:pPr>
      <w:r>
        <w:rPr>
          <w:rFonts w:ascii="Calibri" w:hAnsi="Calibri"/>
          <w:b/>
        </w:rPr>
        <w:t xml:space="preserve">4. Operations &amp; Maintenance (O&amp;M): </w:t>
      </w:r>
      <w:r>
        <w:rPr>
          <w:rFonts w:ascii="Calibri" w:hAnsi="Calibri"/>
        </w:rPr>
        <w:t>The system was transitioned to steady-state operations under a maintenance agreement. The project team was dissolved, with specialists returning to their functional departments in the Balanced Matrix, completing the project lifecycle.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