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65F46"/>
          <w:sz w:val="52"/>
        </w:rPr>
        <w:t>FARMWISE AI: MASTER DEFENSE &amp; SYSTEM ARCHITECTURE GUIDE</w:t>
      </w:r>
    </w:p>
    <w:p>
      <w:pPr>
        <w:spacing w:after="400"/>
        <w:jc w:val="center"/>
      </w:pPr>
      <w:r>
        <w:rPr>
          <w:color w:val="64748B"/>
          <w:sz w:val="24"/>
        </w:rPr>
        <w:t>FarmwiseAI Campus Product Challenge — Task 1: Multi-Model, Multimodal &amp; Agentic System</w:t>
        <w:br/>
        <w:t>Complete Hackathon Presentation, API Specifications, Technical Justifications &amp; Viva Defense</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Pr>
          <w:p>
            <w:pPr>
              <w:spacing w:after="40"/>
            </w:pPr>
            <w:r>
              <w:rPr>
                <w:b/>
                <w:color w:val="065F46"/>
                <w:sz w:val="20"/>
              </w:rPr>
              <w:t>★ PROJECT IDENTITY &amp; CREDENTIALS</w:t>
              <w:br/>
            </w:r>
            <w:r>
              <w:rPr>
                <w:color w:val="166534"/>
                <w:sz w:val="20"/>
              </w:rPr>
              <w:t>PROJECT: FarmwiseAI Agentic Agriculture Intelligence Platform</w:t>
              <w:br/>
              <w:t>TEAM ID: FAI-TCE-Team06 | AWS REGION: ap-south-1 (Mumbai)</w:t>
              <w:br/>
              <w:t>CORE CAPABILITIES: Multi-Agent Orchestration (LangGraph), Multimodal Vision (Gemini 3.8 Flash), Verifier/Critic Architecture (Claude 3.5 Sonnet), Voice-First Tamil Interaction (Groq Whisper), Cadastral Spatial Mapping (Leaflet + Turf.js), Live Agro-Meteorological RAG.</w:t>
            </w:r>
          </w:p>
        </w:tc>
      </w:tr>
    </w:tbl>
    <w:p>
      <w:pPr>
        <w:spacing w:after="120"/>
      </w:pPr>
    </w:p>
    <w:p>
      <w:pPr>
        <w:keepNext/>
        <w:spacing w:before="360" w:after="120"/>
      </w:pPr>
      <w:r>
        <w:rPr>
          <w:b/>
          <w:color w:val="065F46"/>
          <w:sz w:val="32"/>
        </w:rPr>
        <w:t>1. Executive Summary &amp; Product Workflow</w:t>
      </w:r>
    </w:p>
    <w:p>
      <w:r>
        <w:t>FarmwiseAI is an autonomous, agentic agricultural intelligence platform engineered to bridge the digital divide for smallholder Indian farmers. Traditional advisory systems either present generic, broad-brush district recommendations or require tedious manual navigation in English. FarmwiseAI transforms agricultural advisory into an automated, parcel-level, multimodal pipeline where a farmer submits a survey number, a field photograph, and voice queries in native Tamil or English. In under 15 seconds, a coordinated multi-model agent network resolves cadastral land records, evaluates canopy health via computer vision, retrieves micro-climate forecasts, audits all advice through an adversarial Verifier Critic agent, and synthesizes an auditable, bilingual advisory with real-time decision traces.</w:t>
      </w:r>
    </w:p>
    <w:p>
      <w:pPr>
        <w:keepNext/>
        <w:spacing w:before="240" w:after="80"/>
      </w:pPr>
      <w:r>
        <w:rPr>
          <w:b/>
          <w:color w:val="0F172A"/>
          <w:sz w:val="26"/>
        </w:rPr>
        <w:t>1.1 End-to-End Application Workflow (Step-by-Step)</w:t>
      </w:r>
    </w:p>
    <w:p>
      <w:r>
        <w:rPr>
          <w:b/>
          <w:color w:val="0F172A"/>
        </w:rPr>
        <w:t xml:space="preserve">• Step 1: User Input (Multimodal Entry): </w:t>
      </w:r>
      <w:r>
        <w:t>Farmer provides either: (a) exact Survey Number (e.g. 1342, 384), (b) spoken voice query in Tamil or English via microphone, or (c) uploaded field crop photograph.</w:t>
      </w:r>
    </w:p>
    <w:p>
      <w:r>
        <w:rPr>
          <w:b/>
          <w:color w:val="0F172A"/>
        </w:rPr>
        <w:t xml:space="preserve">• Step 2: Voice &amp; Query Processing: </w:t>
      </w:r>
      <w:r>
        <w:t>If audio is provided, the Groq Whisper LPU service transcribes the speech in ~320ms. Tamil numbers/terms are normalized (e.g., 'ஆயிரத்து முன்னூற்று நாற்பத்திரண்டு' -&gt; 1342).</w:t>
      </w:r>
    </w:p>
    <w:p>
      <w:r>
        <w:rPr>
          <w:b/>
          <w:color w:val="0F172A"/>
        </w:rPr>
        <w:t xml:space="preserve">• Step 3: Geography Agent (Spatial Resolution): </w:t>
      </w:r>
      <w:r>
        <w:t>Resolves survey number in the cadastral database (14,643 ground-truth points). Computes centroid lat/long, taluk, village code, and retrieves the exact parcel boundary polygon from Cadastral / FMB GeoJSON layers.</w:t>
      </w:r>
    </w:p>
    <w:p>
      <w:r>
        <w:rPr>
          <w:b/>
          <w:color w:val="0F172A"/>
        </w:rPr>
        <w:t xml:space="preserve">• Step 4: Image Agent (Computer Vision Phenotyping): </w:t>
      </w:r>
      <w:r>
        <w:t>Extracts the field photo and sends it to Gemini 3.8 Flash Multimodal Vision. Evaluates actual crop species, vegetative canopy growth stage (e.g., tillering, flowering), chlorophyll reflectance, and weed/pest anomalies with confidence scoring.</w:t>
      </w:r>
    </w:p>
    <w:p>
      <w:r>
        <w:rPr>
          <w:b/>
          <w:color w:val="0F172A"/>
        </w:rPr>
        <w:t xml:space="preserve">• Step 5: Weather Agent (Micro-Climate Assessment): </w:t>
      </w:r>
      <w:r>
        <w:t>Fetches hourly weather from Open-Meteo API using the exact parcel coordinates. Computes the Agronomic Safe Spraying Window based on rainfall probability, wind velocity (&lt;15 km/h), and relative humidity.</w:t>
      </w:r>
    </w:p>
    <w:p>
      <w:r>
        <w:rPr>
          <w:b/>
          <w:color w:val="0F172A"/>
        </w:rPr>
        <w:t xml:space="preserve">• Step 6: Agri-Knowledge Agent (RAG Retrieval): </w:t>
      </w:r>
      <w:r>
        <w:t>Cross-references TNAU Agritech portal &amp; ICAR crop production manuals for standard nutrient dosages, and pulls live Mandi APMC commodity price trends.</w:t>
      </w:r>
    </w:p>
    <w:p>
      <w:r>
        <w:rPr>
          <w:b/>
          <w:color w:val="0F172A"/>
        </w:rPr>
        <w:t xml:space="preserve">• Step 7: Verifier &amp; Critic Agent (Adversarial Audit): </w:t>
      </w:r>
      <w:r>
        <w:t>Claude 3.5 Sonnet / Gemini audits all agent findings for cross-consistency: Does the detected image crop match the Patta record? Is the suggested fertilizer safe for the current growth stage and weather? Flags discrepancies and assigns an audit confidence score (e.g., 96%).</w:t>
      </w:r>
    </w:p>
    <w:p>
      <w:r>
        <w:rPr>
          <w:b/>
          <w:color w:val="0F172A"/>
        </w:rPr>
        <w:t xml:space="preserve">• Step 8: Advisory Synthesis &amp; Bilingual Output: </w:t>
      </w:r>
      <w:r>
        <w:t>Synthesizes the final farmer-friendly advisory. Translates into natural colloquial Tamil. Renders the interactive Leaflet map, decision trace modal, and printable government-format PDF audit report.</w:t>
      </w:r>
    </w:p>
    <w:p>
      <w:pPr>
        <w:keepNext/>
        <w:spacing w:before="360" w:after="120"/>
      </w:pPr>
      <w:r>
        <w:rPr>
          <w:b/>
          <w:color w:val="065F46"/>
          <w:sz w:val="32"/>
        </w:rPr>
        <w:t>2. APIs Used: Limits, Latency, Cost &amp; Performance Metrics</w:t>
      </w:r>
    </w:p>
    <w:p>
      <w:r>
        <w:t>To satisfy the Task 1 requirement of a generic, scalable multi-model system, FarmwiseAI intentionally routes each operational sub-task to the model or API best suited for latency, token economics, and visual precision. Below is the complete empirical benchmark table: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584"/>
            <w:shd w:fill="065F46"/>
            <w:tcMar>
              <w:top w:w="100" w:type="dxa"/>
              <w:bottom w:w="100" w:type="dxa"/>
              <w:left w:w="120" w:type="dxa"/>
              <w:right w:w="120" w:type="dxa"/>
            </w:tcMar>
          </w:tcPr>
          <w:p>
            <w:pPr>
              <w:jc w:val="left"/>
            </w:pPr>
            <w:r>
              <w:rPr>
                <w:b/>
                <w:color w:val="FFFFFF"/>
                <w:sz w:val="19"/>
              </w:rPr>
              <w:t>Service / API</w:t>
            </w:r>
          </w:p>
        </w:tc>
        <w:tc>
          <w:tcPr>
            <w:tcW w:type="dxa" w:w="2016"/>
            <w:shd w:fill="065F46"/>
            <w:tcMar>
              <w:top w:w="100" w:type="dxa"/>
              <w:bottom w:w="100" w:type="dxa"/>
              <w:left w:w="120" w:type="dxa"/>
              <w:right w:w="120" w:type="dxa"/>
            </w:tcMar>
          </w:tcPr>
          <w:p>
            <w:pPr>
              <w:jc w:val="left"/>
            </w:pPr>
            <w:r>
              <w:rPr>
                <w:b/>
                <w:color w:val="FFFFFF"/>
                <w:sz w:val="19"/>
              </w:rPr>
              <w:t>Model / Protocol</w:t>
            </w:r>
          </w:p>
        </w:tc>
        <w:tc>
          <w:tcPr>
            <w:tcW w:type="dxa" w:w="2304"/>
            <w:shd w:fill="065F46"/>
            <w:tcMar>
              <w:top w:w="100" w:type="dxa"/>
              <w:bottom w:w="100" w:type="dxa"/>
              <w:left w:w="120" w:type="dxa"/>
              <w:right w:w="120" w:type="dxa"/>
            </w:tcMar>
          </w:tcPr>
          <w:p>
            <w:pPr>
              <w:jc w:val="left"/>
            </w:pPr>
            <w:r>
              <w:rPr>
                <w:b/>
                <w:color w:val="FFFFFF"/>
                <w:sz w:val="19"/>
              </w:rPr>
              <w:t>Primary Role</w:t>
            </w:r>
          </w:p>
        </w:tc>
        <w:tc>
          <w:tcPr>
            <w:tcW w:type="dxa" w:w="1296"/>
            <w:shd w:fill="065F46"/>
            <w:tcMar>
              <w:top w:w="100" w:type="dxa"/>
              <w:bottom w:w="100" w:type="dxa"/>
              <w:left w:w="120" w:type="dxa"/>
              <w:right w:w="120" w:type="dxa"/>
            </w:tcMar>
          </w:tcPr>
          <w:p>
            <w:pPr>
              <w:jc w:val="left"/>
            </w:pPr>
            <w:r>
              <w:rPr>
                <w:b/>
                <w:color w:val="FFFFFF"/>
                <w:sz w:val="19"/>
              </w:rPr>
              <w:t>Latency</w:t>
            </w:r>
          </w:p>
        </w:tc>
        <w:tc>
          <w:tcPr>
            <w:tcW w:type="dxa" w:w="1440"/>
            <w:shd w:fill="065F46"/>
            <w:tcMar>
              <w:top w:w="100" w:type="dxa"/>
              <w:bottom w:w="100" w:type="dxa"/>
              <w:left w:w="120" w:type="dxa"/>
              <w:right w:w="120" w:type="dxa"/>
            </w:tcMar>
          </w:tcPr>
          <w:p>
            <w:pPr>
              <w:jc w:val="left"/>
            </w:pPr>
            <w:r>
              <w:rPr>
                <w:b/>
                <w:color w:val="FFFFFF"/>
                <w:sz w:val="19"/>
              </w:rPr>
              <w:t>Rate Limit</w:t>
            </w:r>
          </w:p>
        </w:tc>
        <w:tc>
          <w:tcPr>
            <w:tcW w:type="dxa" w:w="1440"/>
            <w:shd w:fill="065F46"/>
            <w:tcMar>
              <w:top w:w="100" w:type="dxa"/>
              <w:bottom w:w="100" w:type="dxa"/>
              <w:left w:w="120" w:type="dxa"/>
              <w:right w:w="120" w:type="dxa"/>
            </w:tcMar>
          </w:tcPr>
          <w:p>
            <w:pPr>
              <w:jc w:val="left"/>
            </w:pPr>
            <w:r>
              <w:rPr>
                <w:b/>
                <w:color w:val="FFFFFF"/>
                <w:sz w:val="19"/>
              </w:rPr>
              <w:t>Cost / Unit</w:t>
            </w:r>
          </w:p>
        </w:tc>
      </w:tr>
      <w:tr>
        <w:tc>
          <w:tcPr>
            <w:tcW w:type="dxa" w:w="1584"/>
            <w:shd w:fill="FFFFFF"/>
            <w:tcMar>
              <w:top w:w="80" w:type="dxa"/>
              <w:bottom w:w="80" w:type="dxa"/>
              <w:left w:w="120" w:type="dxa"/>
              <w:right w:w="120" w:type="dxa"/>
            </w:tcMar>
          </w:tcPr>
          <w:p>
            <w:pPr>
              <w:jc w:val="left"/>
            </w:pPr>
            <w:r>
              <w:rPr>
                <w:color w:val="0F172A"/>
                <w:sz w:val="18"/>
              </w:rPr>
              <w:t>Google GenAI</w:t>
            </w:r>
          </w:p>
        </w:tc>
        <w:tc>
          <w:tcPr>
            <w:tcW w:type="dxa" w:w="2016"/>
            <w:shd w:fill="FFFFFF"/>
            <w:tcMar>
              <w:top w:w="80" w:type="dxa"/>
              <w:bottom w:w="80" w:type="dxa"/>
              <w:left w:w="120" w:type="dxa"/>
              <w:right w:w="120" w:type="dxa"/>
            </w:tcMar>
          </w:tcPr>
          <w:p>
            <w:pPr>
              <w:jc w:val="left"/>
            </w:pPr>
            <w:r>
              <w:rPr>
                <w:color w:val="0F172A"/>
                <w:sz w:val="18"/>
              </w:rPr>
              <w:t>Gemini 3.8 Flash</w:t>
            </w:r>
          </w:p>
        </w:tc>
        <w:tc>
          <w:tcPr>
            <w:tcW w:type="dxa" w:w="2304"/>
            <w:shd w:fill="FFFFFF"/>
            <w:tcMar>
              <w:top w:w="80" w:type="dxa"/>
              <w:bottom w:w="80" w:type="dxa"/>
              <w:left w:w="120" w:type="dxa"/>
              <w:right w:w="120" w:type="dxa"/>
            </w:tcMar>
          </w:tcPr>
          <w:p>
            <w:pPr>
              <w:jc w:val="left"/>
            </w:pPr>
            <w:r>
              <w:rPr>
                <w:color w:val="0F172A"/>
                <w:sz w:val="18"/>
              </w:rPr>
              <w:t>Multimodal Vision &amp; Tamil Translation</w:t>
            </w:r>
          </w:p>
        </w:tc>
        <w:tc>
          <w:tcPr>
            <w:tcW w:type="dxa" w:w="1296"/>
            <w:shd w:fill="FFFFFF"/>
            <w:tcMar>
              <w:top w:w="80" w:type="dxa"/>
              <w:bottom w:w="80" w:type="dxa"/>
              <w:left w:w="120" w:type="dxa"/>
              <w:right w:w="120" w:type="dxa"/>
            </w:tcMar>
          </w:tcPr>
          <w:p>
            <w:pPr>
              <w:jc w:val="left"/>
            </w:pPr>
            <w:r>
              <w:rPr>
                <w:color w:val="0F172A"/>
                <w:sz w:val="18"/>
              </w:rPr>
              <w:t>1.2s - 2.4s</w:t>
            </w:r>
          </w:p>
        </w:tc>
        <w:tc>
          <w:tcPr>
            <w:tcW w:type="dxa" w:w="1440"/>
            <w:shd w:fill="FFFFFF"/>
            <w:tcMar>
              <w:top w:w="80" w:type="dxa"/>
              <w:bottom w:w="80" w:type="dxa"/>
              <w:left w:w="120" w:type="dxa"/>
              <w:right w:w="120" w:type="dxa"/>
            </w:tcMar>
          </w:tcPr>
          <w:p>
            <w:pPr>
              <w:jc w:val="left"/>
            </w:pPr>
            <w:r>
              <w:rPr>
                <w:color w:val="0F172A"/>
                <w:sz w:val="18"/>
              </w:rPr>
              <w:t>15 RPM (Free) / 1000 RPM</w:t>
            </w:r>
          </w:p>
        </w:tc>
        <w:tc>
          <w:tcPr>
            <w:tcW w:type="dxa" w:w="1440"/>
            <w:shd w:fill="FFFFFF"/>
            <w:tcMar>
              <w:top w:w="80" w:type="dxa"/>
              <w:bottom w:w="80" w:type="dxa"/>
              <w:left w:w="120" w:type="dxa"/>
              <w:right w:w="120" w:type="dxa"/>
            </w:tcMar>
          </w:tcPr>
          <w:p>
            <w:pPr>
              <w:jc w:val="left"/>
            </w:pPr>
            <w:r>
              <w:rPr>
                <w:color w:val="0F172A"/>
                <w:sz w:val="18"/>
              </w:rPr>
              <w:t>$0.075 / 1M input tokens</w:t>
            </w:r>
          </w:p>
        </w:tc>
      </w:tr>
      <w:tr>
        <w:tc>
          <w:tcPr>
            <w:tcW w:type="dxa" w:w="1584"/>
            <w:shd w:fill="F8FAFC"/>
            <w:tcMar>
              <w:top w:w="80" w:type="dxa"/>
              <w:bottom w:w="80" w:type="dxa"/>
              <w:left w:w="120" w:type="dxa"/>
              <w:right w:w="120" w:type="dxa"/>
            </w:tcMar>
          </w:tcPr>
          <w:p>
            <w:pPr>
              <w:jc w:val="left"/>
            </w:pPr>
            <w:r>
              <w:rPr>
                <w:color w:val="0F172A"/>
                <w:sz w:val="18"/>
              </w:rPr>
              <w:t>Anthropic</w:t>
            </w:r>
          </w:p>
        </w:tc>
        <w:tc>
          <w:tcPr>
            <w:tcW w:type="dxa" w:w="2016"/>
            <w:shd w:fill="F8FAFC"/>
            <w:tcMar>
              <w:top w:w="80" w:type="dxa"/>
              <w:bottom w:w="80" w:type="dxa"/>
              <w:left w:w="120" w:type="dxa"/>
              <w:right w:w="120" w:type="dxa"/>
            </w:tcMar>
          </w:tcPr>
          <w:p>
            <w:pPr>
              <w:jc w:val="left"/>
            </w:pPr>
            <w:r>
              <w:rPr>
                <w:color w:val="0F172A"/>
                <w:sz w:val="18"/>
              </w:rPr>
              <w:t>Claude 3.5 Sonnet</w:t>
            </w:r>
          </w:p>
        </w:tc>
        <w:tc>
          <w:tcPr>
            <w:tcW w:type="dxa" w:w="2304"/>
            <w:shd w:fill="F8FAFC"/>
            <w:tcMar>
              <w:top w:w="80" w:type="dxa"/>
              <w:bottom w:w="80" w:type="dxa"/>
              <w:left w:w="120" w:type="dxa"/>
              <w:right w:w="120" w:type="dxa"/>
            </w:tcMar>
          </w:tcPr>
          <w:p>
            <w:pPr>
              <w:jc w:val="left"/>
            </w:pPr>
            <w:r>
              <w:rPr>
                <w:color w:val="0F172A"/>
                <w:sz w:val="18"/>
              </w:rPr>
              <w:t>Verifier Critic &amp; Complex Planner</w:t>
            </w:r>
          </w:p>
        </w:tc>
        <w:tc>
          <w:tcPr>
            <w:tcW w:type="dxa" w:w="1296"/>
            <w:shd w:fill="F8FAFC"/>
            <w:tcMar>
              <w:top w:w="80" w:type="dxa"/>
              <w:bottom w:w="80" w:type="dxa"/>
              <w:left w:w="120" w:type="dxa"/>
              <w:right w:w="120" w:type="dxa"/>
            </w:tcMar>
          </w:tcPr>
          <w:p>
            <w:pPr>
              <w:jc w:val="left"/>
            </w:pPr>
            <w:r>
              <w:rPr>
                <w:color w:val="0F172A"/>
                <w:sz w:val="18"/>
              </w:rPr>
              <w:t>1.8s - 3.2s</w:t>
            </w:r>
          </w:p>
        </w:tc>
        <w:tc>
          <w:tcPr>
            <w:tcW w:type="dxa" w:w="1440"/>
            <w:shd w:fill="F8FAFC"/>
            <w:tcMar>
              <w:top w:w="80" w:type="dxa"/>
              <w:bottom w:w="80" w:type="dxa"/>
              <w:left w:w="120" w:type="dxa"/>
              <w:right w:w="120" w:type="dxa"/>
            </w:tcMar>
          </w:tcPr>
          <w:p>
            <w:pPr>
              <w:jc w:val="left"/>
            </w:pPr>
            <w:r>
              <w:rPr>
                <w:color w:val="0F172A"/>
                <w:sz w:val="18"/>
              </w:rPr>
              <w:t>50 RPM / 40K TPM</w:t>
            </w:r>
          </w:p>
        </w:tc>
        <w:tc>
          <w:tcPr>
            <w:tcW w:type="dxa" w:w="1440"/>
            <w:shd w:fill="F8FAFC"/>
            <w:tcMar>
              <w:top w:w="80" w:type="dxa"/>
              <w:bottom w:w="80" w:type="dxa"/>
              <w:left w:w="120" w:type="dxa"/>
              <w:right w:w="120" w:type="dxa"/>
            </w:tcMar>
          </w:tcPr>
          <w:p>
            <w:pPr>
              <w:jc w:val="left"/>
            </w:pPr>
            <w:r>
              <w:rPr>
                <w:color w:val="0F172A"/>
                <w:sz w:val="18"/>
              </w:rPr>
              <w:t>$3.00 / 1M in, $15.00 / 1M out</w:t>
            </w:r>
          </w:p>
        </w:tc>
      </w:tr>
      <w:tr>
        <w:tc>
          <w:tcPr>
            <w:tcW w:type="dxa" w:w="1584"/>
            <w:shd w:fill="FFFFFF"/>
            <w:tcMar>
              <w:top w:w="80" w:type="dxa"/>
              <w:bottom w:w="80" w:type="dxa"/>
              <w:left w:w="120" w:type="dxa"/>
              <w:right w:w="120" w:type="dxa"/>
            </w:tcMar>
          </w:tcPr>
          <w:p>
            <w:pPr>
              <w:jc w:val="left"/>
            </w:pPr>
            <w:r>
              <w:rPr>
                <w:color w:val="0F172A"/>
                <w:sz w:val="18"/>
              </w:rPr>
              <w:t>Groq Cloud</w:t>
            </w:r>
          </w:p>
        </w:tc>
        <w:tc>
          <w:tcPr>
            <w:tcW w:type="dxa" w:w="2016"/>
            <w:shd w:fill="FFFFFF"/>
            <w:tcMar>
              <w:top w:w="80" w:type="dxa"/>
              <w:bottom w:w="80" w:type="dxa"/>
              <w:left w:w="120" w:type="dxa"/>
              <w:right w:w="120" w:type="dxa"/>
            </w:tcMar>
          </w:tcPr>
          <w:p>
            <w:pPr>
              <w:jc w:val="left"/>
            </w:pPr>
            <w:r>
              <w:rPr>
                <w:color w:val="0F172A"/>
                <w:sz w:val="18"/>
              </w:rPr>
              <w:t>Whisper-Large-v3-Turbo</w:t>
            </w:r>
          </w:p>
        </w:tc>
        <w:tc>
          <w:tcPr>
            <w:tcW w:type="dxa" w:w="2304"/>
            <w:shd w:fill="FFFFFF"/>
            <w:tcMar>
              <w:top w:w="80" w:type="dxa"/>
              <w:bottom w:w="80" w:type="dxa"/>
              <w:left w:w="120" w:type="dxa"/>
              <w:right w:w="120" w:type="dxa"/>
            </w:tcMar>
          </w:tcPr>
          <w:p>
            <w:pPr>
              <w:jc w:val="left"/>
            </w:pPr>
            <w:r>
              <w:rPr>
                <w:color w:val="0F172A"/>
                <w:sz w:val="18"/>
              </w:rPr>
              <w:t>Tamil &amp; English Voice Transcription</w:t>
            </w:r>
          </w:p>
        </w:tc>
        <w:tc>
          <w:tcPr>
            <w:tcW w:type="dxa" w:w="1296"/>
            <w:shd w:fill="FFFFFF"/>
            <w:tcMar>
              <w:top w:w="80" w:type="dxa"/>
              <w:bottom w:w="80" w:type="dxa"/>
              <w:left w:w="120" w:type="dxa"/>
              <w:right w:w="120" w:type="dxa"/>
            </w:tcMar>
          </w:tcPr>
          <w:p>
            <w:pPr>
              <w:jc w:val="left"/>
            </w:pPr>
            <w:r>
              <w:rPr>
                <w:color w:val="0F172A"/>
                <w:sz w:val="18"/>
              </w:rPr>
              <w:t>280ms - 380ms</w:t>
            </w:r>
          </w:p>
        </w:tc>
        <w:tc>
          <w:tcPr>
            <w:tcW w:type="dxa" w:w="1440"/>
            <w:shd w:fill="FFFFFF"/>
            <w:tcMar>
              <w:top w:w="80" w:type="dxa"/>
              <w:bottom w:w="80" w:type="dxa"/>
              <w:left w:w="120" w:type="dxa"/>
              <w:right w:w="120" w:type="dxa"/>
            </w:tcMar>
          </w:tcPr>
          <w:p>
            <w:pPr>
              <w:jc w:val="left"/>
            </w:pPr>
            <w:r>
              <w:rPr>
                <w:color w:val="0F172A"/>
                <w:sz w:val="18"/>
              </w:rPr>
              <w:t>30 RPM / 7K TPM</w:t>
            </w:r>
          </w:p>
        </w:tc>
        <w:tc>
          <w:tcPr>
            <w:tcW w:type="dxa" w:w="1440"/>
            <w:shd w:fill="FFFFFF"/>
            <w:tcMar>
              <w:top w:w="80" w:type="dxa"/>
              <w:bottom w:w="80" w:type="dxa"/>
              <w:left w:w="120" w:type="dxa"/>
              <w:right w:w="120" w:type="dxa"/>
            </w:tcMar>
          </w:tcPr>
          <w:p>
            <w:pPr>
              <w:jc w:val="left"/>
            </w:pPr>
            <w:r>
              <w:rPr>
                <w:color w:val="0F172A"/>
                <w:sz w:val="18"/>
              </w:rPr>
              <w:t>$0.04 / hour of audio</w:t>
            </w:r>
          </w:p>
        </w:tc>
      </w:tr>
      <w:tr>
        <w:tc>
          <w:tcPr>
            <w:tcW w:type="dxa" w:w="1584"/>
            <w:shd w:fill="F8FAFC"/>
            <w:tcMar>
              <w:top w:w="80" w:type="dxa"/>
              <w:bottom w:w="80" w:type="dxa"/>
              <w:left w:w="120" w:type="dxa"/>
              <w:right w:w="120" w:type="dxa"/>
            </w:tcMar>
          </w:tcPr>
          <w:p>
            <w:pPr>
              <w:jc w:val="left"/>
            </w:pPr>
            <w:r>
              <w:rPr>
                <w:color w:val="0F172A"/>
                <w:sz w:val="18"/>
              </w:rPr>
              <w:t>Open-Meteo</w:t>
            </w:r>
          </w:p>
        </w:tc>
        <w:tc>
          <w:tcPr>
            <w:tcW w:type="dxa" w:w="2016"/>
            <w:shd w:fill="F8FAFC"/>
            <w:tcMar>
              <w:top w:w="80" w:type="dxa"/>
              <w:bottom w:w="80" w:type="dxa"/>
              <w:left w:w="120" w:type="dxa"/>
              <w:right w:w="120" w:type="dxa"/>
            </w:tcMar>
          </w:tcPr>
          <w:p>
            <w:pPr>
              <w:jc w:val="left"/>
            </w:pPr>
            <w:r>
              <w:rPr>
                <w:color w:val="0F172A"/>
                <w:sz w:val="18"/>
              </w:rPr>
              <w:t>WMO Agro-Met API</w:t>
            </w:r>
          </w:p>
        </w:tc>
        <w:tc>
          <w:tcPr>
            <w:tcW w:type="dxa" w:w="2304"/>
            <w:shd w:fill="F8FAFC"/>
            <w:tcMar>
              <w:top w:w="80" w:type="dxa"/>
              <w:bottom w:w="80" w:type="dxa"/>
              <w:left w:w="120" w:type="dxa"/>
              <w:right w:w="120" w:type="dxa"/>
            </w:tcMar>
          </w:tcPr>
          <w:p>
            <w:pPr>
              <w:jc w:val="left"/>
            </w:pPr>
            <w:r>
              <w:rPr>
                <w:color w:val="0F172A"/>
                <w:sz w:val="18"/>
              </w:rPr>
              <w:t>Hyper-local Weather &amp; Spray Window</w:t>
            </w:r>
          </w:p>
        </w:tc>
        <w:tc>
          <w:tcPr>
            <w:tcW w:type="dxa" w:w="1296"/>
            <w:shd w:fill="F8FAFC"/>
            <w:tcMar>
              <w:top w:w="80" w:type="dxa"/>
              <w:bottom w:w="80" w:type="dxa"/>
              <w:left w:w="120" w:type="dxa"/>
              <w:right w:w="120" w:type="dxa"/>
            </w:tcMar>
          </w:tcPr>
          <w:p>
            <w:pPr>
              <w:jc w:val="left"/>
            </w:pPr>
            <w:r>
              <w:rPr>
                <w:color w:val="0F172A"/>
                <w:sz w:val="18"/>
              </w:rPr>
              <w:t>200ms - 350ms</w:t>
            </w:r>
          </w:p>
        </w:tc>
        <w:tc>
          <w:tcPr>
            <w:tcW w:type="dxa" w:w="1440"/>
            <w:shd w:fill="F8FAFC"/>
            <w:tcMar>
              <w:top w:w="80" w:type="dxa"/>
              <w:bottom w:w="80" w:type="dxa"/>
              <w:left w:w="120" w:type="dxa"/>
              <w:right w:w="120" w:type="dxa"/>
            </w:tcMar>
          </w:tcPr>
          <w:p>
            <w:pPr>
              <w:jc w:val="left"/>
            </w:pPr>
            <w:r>
              <w:rPr>
                <w:color w:val="0F172A"/>
                <w:sz w:val="18"/>
              </w:rPr>
              <w:t>10,000 calls / day free</w:t>
            </w:r>
          </w:p>
        </w:tc>
        <w:tc>
          <w:tcPr>
            <w:tcW w:type="dxa" w:w="1440"/>
            <w:shd w:fill="F8FAFC"/>
            <w:tcMar>
              <w:top w:w="80" w:type="dxa"/>
              <w:bottom w:w="80" w:type="dxa"/>
              <w:left w:w="120" w:type="dxa"/>
              <w:right w:w="120" w:type="dxa"/>
            </w:tcMar>
          </w:tcPr>
          <w:p>
            <w:pPr>
              <w:jc w:val="left"/>
            </w:pPr>
            <w:r>
              <w:rPr>
                <w:color w:val="0F172A"/>
                <w:sz w:val="18"/>
              </w:rPr>
              <w:t>$0.00 (Public domain)</w:t>
            </w:r>
          </w:p>
        </w:tc>
      </w:tr>
      <w:tr>
        <w:tc>
          <w:tcPr>
            <w:tcW w:type="dxa" w:w="1584"/>
            <w:shd w:fill="FFFFFF"/>
            <w:tcMar>
              <w:top w:w="80" w:type="dxa"/>
              <w:bottom w:w="80" w:type="dxa"/>
              <w:left w:w="120" w:type="dxa"/>
              <w:right w:w="120" w:type="dxa"/>
            </w:tcMar>
          </w:tcPr>
          <w:p>
            <w:pPr>
              <w:jc w:val="left"/>
            </w:pPr>
            <w:r>
              <w:rPr>
                <w:color w:val="0F172A"/>
                <w:sz w:val="18"/>
              </w:rPr>
              <w:t>AWS S3</w:t>
            </w:r>
          </w:p>
        </w:tc>
        <w:tc>
          <w:tcPr>
            <w:tcW w:type="dxa" w:w="2016"/>
            <w:shd w:fill="FFFFFF"/>
            <w:tcMar>
              <w:top w:w="80" w:type="dxa"/>
              <w:bottom w:w="80" w:type="dxa"/>
              <w:left w:w="120" w:type="dxa"/>
              <w:right w:w="120" w:type="dxa"/>
            </w:tcMar>
          </w:tcPr>
          <w:p>
            <w:pPr>
              <w:jc w:val="left"/>
            </w:pPr>
            <w:r>
              <w:rPr>
                <w:color w:val="0F172A"/>
                <w:sz w:val="18"/>
              </w:rPr>
              <w:t>ap-south-1 (Mumbai)</w:t>
            </w:r>
          </w:p>
        </w:tc>
        <w:tc>
          <w:tcPr>
            <w:tcW w:type="dxa" w:w="2304"/>
            <w:shd w:fill="FFFFFF"/>
            <w:tcMar>
              <w:top w:w="80" w:type="dxa"/>
              <w:bottom w:w="80" w:type="dxa"/>
              <w:left w:w="120" w:type="dxa"/>
              <w:right w:w="120" w:type="dxa"/>
            </w:tcMar>
          </w:tcPr>
          <w:p>
            <w:pPr>
              <w:jc w:val="left"/>
            </w:pPr>
            <w:r>
              <w:rPr>
                <w:color w:val="0F172A"/>
                <w:sz w:val="18"/>
              </w:rPr>
              <w:t>Private Storage of Field Photographs</w:t>
            </w:r>
          </w:p>
        </w:tc>
        <w:tc>
          <w:tcPr>
            <w:tcW w:type="dxa" w:w="1296"/>
            <w:shd w:fill="FFFFFF"/>
            <w:tcMar>
              <w:top w:w="80" w:type="dxa"/>
              <w:bottom w:w="80" w:type="dxa"/>
              <w:left w:w="120" w:type="dxa"/>
              <w:right w:w="120" w:type="dxa"/>
            </w:tcMar>
          </w:tcPr>
          <w:p>
            <w:pPr>
              <w:jc w:val="left"/>
            </w:pPr>
            <w:r>
              <w:rPr>
                <w:color w:val="0F172A"/>
                <w:sz w:val="18"/>
              </w:rPr>
              <w:t>150ms - 250ms</w:t>
            </w:r>
          </w:p>
        </w:tc>
        <w:tc>
          <w:tcPr>
            <w:tcW w:type="dxa" w:w="1440"/>
            <w:shd w:fill="FFFFFF"/>
            <w:tcMar>
              <w:top w:w="80" w:type="dxa"/>
              <w:bottom w:w="80" w:type="dxa"/>
              <w:left w:w="120" w:type="dxa"/>
              <w:right w:w="120" w:type="dxa"/>
            </w:tcMar>
          </w:tcPr>
          <w:p>
            <w:pPr>
              <w:jc w:val="left"/>
            </w:pPr>
            <w:r>
              <w:rPr>
                <w:color w:val="0F172A"/>
                <w:sz w:val="18"/>
              </w:rPr>
              <w:t>3,500 PUTs/sec</w:t>
            </w:r>
          </w:p>
        </w:tc>
        <w:tc>
          <w:tcPr>
            <w:tcW w:type="dxa" w:w="1440"/>
            <w:shd w:fill="FFFFFF"/>
            <w:tcMar>
              <w:top w:w="80" w:type="dxa"/>
              <w:bottom w:w="80" w:type="dxa"/>
              <w:left w:w="120" w:type="dxa"/>
              <w:right w:w="120" w:type="dxa"/>
            </w:tcMar>
          </w:tcPr>
          <w:p>
            <w:pPr>
              <w:jc w:val="left"/>
            </w:pPr>
            <w:r>
              <w:rPr>
                <w:color w:val="0F172A"/>
                <w:sz w:val="18"/>
              </w:rPr>
              <w:t>$0.023 / GB / month</w:t>
            </w:r>
          </w:p>
        </w:tc>
      </w:tr>
      <w:tr>
        <w:tc>
          <w:tcPr>
            <w:tcW w:type="dxa" w:w="1584"/>
            <w:shd w:fill="F8FAFC"/>
            <w:tcMar>
              <w:top w:w="80" w:type="dxa"/>
              <w:bottom w:w="80" w:type="dxa"/>
              <w:left w:w="120" w:type="dxa"/>
              <w:right w:w="120" w:type="dxa"/>
            </w:tcMar>
          </w:tcPr>
          <w:p>
            <w:pPr>
              <w:jc w:val="left"/>
            </w:pPr>
            <w:r>
              <w:rPr>
                <w:color w:val="0F172A"/>
                <w:sz w:val="18"/>
              </w:rPr>
              <w:t>AWS Bedrock</w:t>
            </w:r>
          </w:p>
        </w:tc>
        <w:tc>
          <w:tcPr>
            <w:tcW w:type="dxa" w:w="2016"/>
            <w:shd w:fill="F8FAFC"/>
            <w:tcMar>
              <w:top w:w="80" w:type="dxa"/>
              <w:bottom w:w="80" w:type="dxa"/>
              <w:left w:w="120" w:type="dxa"/>
              <w:right w:w="120" w:type="dxa"/>
            </w:tcMar>
          </w:tcPr>
          <w:p>
            <w:pPr>
              <w:jc w:val="left"/>
            </w:pPr>
            <w:r>
              <w:rPr>
                <w:color w:val="0F172A"/>
                <w:sz w:val="18"/>
              </w:rPr>
              <w:t>Titan Multimodal / Ministral</w:t>
            </w:r>
          </w:p>
        </w:tc>
        <w:tc>
          <w:tcPr>
            <w:tcW w:type="dxa" w:w="2304"/>
            <w:shd w:fill="F8FAFC"/>
            <w:tcMar>
              <w:top w:w="80" w:type="dxa"/>
              <w:bottom w:w="80" w:type="dxa"/>
              <w:left w:w="120" w:type="dxa"/>
              <w:right w:w="120" w:type="dxa"/>
            </w:tcMar>
          </w:tcPr>
          <w:p>
            <w:pPr>
              <w:jc w:val="left"/>
            </w:pPr>
            <w:r>
              <w:rPr>
                <w:color w:val="0F172A"/>
                <w:sz w:val="18"/>
              </w:rPr>
              <w:t>Image Embeddings &amp; Structured Parsing</w:t>
            </w:r>
          </w:p>
        </w:tc>
        <w:tc>
          <w:tcPr>
            <w:tcW w:type="dxa" w:w="1296"/>
            <w:shd w:fill="F8FAFC"/>
            <w:tcMar>
              <w:top w:w="80" w:type="dxa"/>
              <w:bottom w:w="80" w:type="dxa"/>
              <w:left w:w="120" w:type="dxa"/>
              <w:right w:w="120" w:type="dxa"/>
            </w:tcMar>
          </w:tcPr>
          <w:p>
            <w:pPr>
              <w:jc w:val="left"/>
            </w:pPr>
            <w:r>
              <w:rPr>
                <w:color w:val="0F172A"/>
                <w:sz w:val="18"/>
              </w:rPr>
              <w:t>450ms - 900ms</w:t>
            </w:r>
          </w:p>
        </w:tc>
        <w:tc>
          <w:tcPr>
            <w:tcW w:type="dxa" w:w="1440"/>
            <w:shd w:fill="F8FAFC"/>
            <w:tcMar>
              <w:top w:w="80" w:type="dxa"/>
              <w:bottom w:w="80" w:type="dxa"/>
              <w:left w:w="120" w:type="dxa"/>
              <w:right w:w="120" w:type="dxa"/>
            </w:tcMar>
          </w:tcPr>
          <w:p>
            <w:pPr>
              <w:jc w:val="left"/>
            </w:pPr>
            <w:r>
              <w:rPr>
                <w:color w:val="0F172A"/>
                <w:sz w:val="18"/>
              </w:rPr>
              <w:t>Event Account Enforced</w:t>
            </w:r>
          </w:p>
        </w:tc>
        <w:tc>
          <w:tcPr>
            <w:tcW w:type="dxa" w:w="1440"/>
            <w:shd w:fill="F8FAFC"/>
            <w:tcMar>
              <w:top w:w="80" w:type="dxa"/>
              <w:bottom w:w="80" w:type="dxa"/>
              <w:left w:w="120" w:type="dxa"/>
              <w:right w:w="120" w:type="dxa"/>
            </w:tcMar>
          </w:tcPr>
          <w:p>
            <w:pPr>
              <w:jc w:val="left"/>
            </w:pPr>
            <w:r>
              <w:rPr>
                <w:color w:val="0F172A"/>
                <w:sz w:val="18"/>
              </w:rPr>
              <w:t>$0.0008 / 1K tokens</w:t>
            </w:r>
          </w:p>
        </w:tc>
      </w:tr>
    </w:tbl>
    <w:p>
      <w:pPr>
        <w:spacing w:after="120"/>
      </w:pP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Pr>
          <w:p>
            <w:pPr>
              <w:spacing w:after="40"/>
            </w:pPr>
            <w:r>
              <w:rPr>
                <w:b/>
                <w:color w:val="065F46"/>
                <w:sz w:val="20"/>
              </w:rPr>
              <w:t>★ BENCHMARK SUMMARY &amp; BUDGET VIABILITY</w:t>
              <w:br/>
            </w:r>
            <w:r>
              <w:rPr>
                <w:color w:val="166534"/>
                <w:sz w:val="20"/>
              </w:rPr>
              <w:t>AVERAGE PIPELINE RUNTIME: 8.4 seconds (FastAPI async parallel agent execution)</w:t>
              <w:br/>
              <w:t>ESTIMATED COST PER ADVISORY RUN: $0.0038 (~0.31 INR) — fully compliant with the $100 hackathon budget limit.</w:t>
              <w:br/>
              <w:t>PARALLELIZATION: Weather, Geo, and Vision agents execute concurrently via Python asyncio / LangGraph branches.</w:t>
            </w:r>
          </w:p>
        </w:tc>
      </w:tr>
    </w:tbl>
    <w:p>
      <w:pPr>
        <w:spacing w:after="120"/>
      </w:pPr>
    </w:p>
    <w:p>
      <w:pPr>
        <w:keepNext/>
        <w:spacing w:before="360" w:after="120"/>
      </w:pPr>
      <w:r>
        <w:rPr>
          <w:b/>
          <w:color w:val="065F46"/>
          <w:sz w:val="32"/>
        </w:rPr>
        <w:t>3. Complete Tech Stack &amp; Engineering Justifications</w:t>
      </w:r>
    </w:p>
    <w:p>
      <w:r>
        <w:t>Evaluators look for deliberate, reasoned architectural choices. Here is why each technology was chosen over its alternatives:</w:t>
      </w:r>
    </w:p>
    <w:tbl>
      <w:tblPr>
        <w:tblW w:type="auto" w:w="0"/>
        <w:jc w:val="center"/>
        <w:tblLook w:firstColumn="1" w:firstRow="1" w:lastColumn="0" w:lastRow="0" w:noHBand="0" w:noVBand="1" w:val="04A0"/>
      </w:tblPr>
      <w:tblGrid>
        <w:gridCol w:w="2484"/>
        <w:gridCol w:w="2484"/>
        <w:gridCol w:w="2484"/>
        <w:gridCol w:w="2484"/>
      </w:tblGrid>
      <w:tr>
        <w:tc>
          <w:tcPr>
            <w:tcW w:type="dxa" w:w="1296"/>
            <w:shd w:fill="065F46"/>
            <w:tcMar>
              <w:top w:w="100" w:type="dxa"/>
              <w:bottom w:w="100" w:type="dxa"/>
              <w:left w:w="120" w:type="dxa"/>
              <w:right w:w="120" w:type="dxa"/>
            </w:tcMar>
          </w:tcPr>
          <w:p>
            <w:pPr>
              <w:jc w:val="left"/>
            </w:pPr>
            <w:r>
              <w:rPr>
                <w:b/>
                <w:color w:val="FFFFFF"/>
                <w:sz w:val="19"/>
              </w:rPr>
              <w:t>Layer</w:t>
            </w:r>
          </w:p>
        </w:tc>
        <w:tc>
          <w:tcPr>
            <w:tcW w:type="dxa" w:w="2160"/>
            <w:shd w:fill="065F46"/>
            <w:tcMar>
              <w:top w:w="100" w:type="dxa"/>
              <w:bottom w:w="100" w:type="dxa"/>
              <w:left w:w="120" w:type="dxa"/>
              <w:right w:w="120" w:type="dxa"/>
            </w:tcMar>
          </w:tcPr>
          <w:p>
            <w:pPr>
              <w:jc w:val="left"/>
            </w:pPr>
            <w:r>
              <w:rPr>
                <w:b/>
                <w:color w:val="FFFFFF"/>
                <w:sz w:val="19"/>
              </w:rPr>
              <w:t>Technology Chosen</w:t>
            </w:r>
          </w:p>
        </w:tc>
        <w:tc>
          <w:tcPr>
            <w:tcW w:type="dxa" w:w="1872"/>
            <w:shd w:fill="065F46"/>
            <w:tcMar>
              <w:top w:w="100" w:type="dxa"/>
              <w:bottom w:w="100" w:type="dxa"/>
              <w:left w:w="120" w:type="dxa"/>
              <w:right w:w="120" w:type="dxa"/>
            </w:tcMar>
          </w:tcPr>
          <w:p>
            <w:pPr>
              <w:jc w:val="left"/>
            </w:pPr>
            <w:r>
              <w:rPr>
                <w:b/>
                <w:color w:val="FFFFFF"/>
                <w:sz w:val="19"/>
              </w:rPr>
              <w:t>Alternatives Considered</w:t>
            </w:r>
          </w:p>
        </w:tc>
        <w:tc>
          <w:tcPr>
            <w:tcW w:type="dxa" w:w="4608"/>
            <w:shd w:fill="065F46"/>
            <w:tcMar>
              <w:top w:w="100" w:type="dxa"/>
              <w:bottom w:w="100" w:type="dxa"/>
              <w:left w:w="120" w:type="dxa"/>
              <w:right w:w="120" w:type="dxa"/>
            </w:tcMar>
          </w:tcPr>
          <w:p>
            <w:pPr>
              <w:jc w:val="left"/>
            </w:pPr>
            <w:r>
              <w:rPr>
                <w:b/>
                <w:color w:val="FFFFFF"/>
                <w:sz w:val="19"/>
              </w:rPr>
              <w:t>Engineering Rationale &amp; Justification</w:t>
            </w:r>
          </w:p>
        </w:tc>
      </w:tr>
      <w:tr>
        <w:tc>
          <w:tcPr>
            <w:tcW w:type="dxa" w:w="1296"/>
            <w:shd w:fill="FFFFFF"/>
            <w:tcMar>
              <w:top w:w="80" w:type="dxa"/>
              <w:bottom w:w="80" w:type="dxa"/>
              <w:left w:w="120" w:type="dxa"/>
              <w:right w:w="120" w:type="dxa"/>
            </w:tcMar>
          </w:tcPr>
          <w:p>
            <w:pPr>
              <w:jc w:val="left"/>
            </w:pPr>
            <w:r>
              <w:rPr>
                <w:color w:val="0F172A"/>
                <w:sz w:val="18"/>
              </w:rPr>
              <w:t>Frontend UI</w:t>
            </w:r>
          </w:p>
        </w:tc>
        <w:tc>
          <w:tcPr>
            <w:tcW w:type="dxa" w:w="2160"/>
            <w:shd w:fill="FFFFFF"/>
            <w:tcMar>
              <w:top w:w="80" w:type="dxa"/>
              <w:bottom w:w="80" w:type="dxa"/>
              <w:left w:w="120" w:type="dxa"/>
              <w:right w:w="120" w:type="dxa"/>
            </w:tcMar>
          </w:tcPr>
          <w:p>
            <w:pPr>
              <w:jc w:val="left"/>
            </w:pPr>
            <w:r>
              <w:rPr>
                <w:color w:val="0F172A"/>
                <w:sz w:val="18"/>
              </w:rPr>
              <w:t>React 19 + Vite 6 + Tailwind v4</w:t>
            </w:r>
          </w:p>
        </w:tc>
        <w:tc>
          <w:tcPr>
            <w:tcW w:type="dxa" w:w="1872"/>
            <w:shd w:fill="FFFFFF"/>
            <w:tcMar>
              <w:top w:w="80" w:type="dxa"/>
              <w:bottom w:w="80" w:type="dxa"/>
              <w:left w:w="120" w:type="dxa"/>
              <w:right w:w="120" w:type="dxa"/>
            </w:tcMar>
          </w:tcPr>
          <w:p>
            <w:pPr>
              <w:jc w:val="left"/>
            </w:pPr>
            <w:r>
              <w:rPr>
                <w:color w:val="0F172A"/>
                <w:sz w:val="18"/>
              </w:rPr>
              <w:t>Next.js, Vue, Angular</w:t>
            </w:r>
          </w:p>
        </w:tc>
        <w:tc>
          <w:tcPr>
            <w:tcW w:type="dxa" w:w="4608"/>
            <w:shd w:fill="FFFFFF"/>
            <w:tcMar>
              <w:top w:w="80" w:type="dxa"/>
              <w:bottom w:w="80" w:type="dxa"/>
              <w:left w:w="120" w:type="dxa"/>
              <w:right w:w="120" w:type="dxa"/>
            </w:tcMar>
          </w:tcPr>
          <w:p>
            <w:pPr>
              <w:jc w:val="left"/>
            </w:pPr>
            <w:r>
              <w:rPr>
                <w:color w:val="0F172A"/>
                <w:sz w:val="18"/>
              </w:rPr>
              <w:t>Instant HMR, zero-SSR overhead, tiny static bundle (dist &lt; 400KB), global edge caching on Vercel CDN.</w:t>
            </w:r>
          </w:p>
        </w:tc>
      </w:tr>
      <w:tr>
        <w:tc>
          <w:tcPr>
            <w:tcW w:type="dxa" w:w="1296"/>
            <w:shd w:fill="F8FAFC"/>
            <w:tcMar>
              <w:top w:w="80" w:type="dxa"/>
              <w:bottom w:w="80" w:type="dxa"/>
              <w:left w:w="120" w:type="dxa"/>
              <w:right w:w="120" w:type="dxa"/>
            </w:tcMar>
          </w:tcPr>
          <w:p>
            <w:pPr>
              <w:jc w:val="left"/>
            </w:pPr>
            <w:r>
              <w:rPr>
                <w:color w:val="0F172A"/>
                <w:sz w:val="18"/>
              </w:rPr>
              <w:t>Mapping Engine</w:t>
            </w:r>
          </w:p>
        </w:tc>
        <w:tc>
          <w:tcPr>
            <w:tcW w:type="dxa" w:w="2160"/>
            <w:shd w:fill="F8FAFC"/>
            <w:tcMar>
              <w:top w:w="80" w:type="dxa"/>
              <w:bottom w:w="80" w:type="dxa"/>
              <w:left w:w="120" w:type="dxa"/>
              <w:right w:w="120" w:type="dxa"/>
            </w:tcMar>
          </w:tcPr>
          <w:p>
            <w:pPr>
              <w:jc w:val="left"/>
            </w:pPr>
            <w:r>
              <w:rPr>
                <w:color w:val="0F172A"/>
                <w:sz w:val="18"/>
              </w:rPr>
              <w:t>Leaflet + React-Leaflet + OSM</w:t>
            </w:r>
          </w:p>
        </w:tc>
        <w:tc>
          <w:tcPr>
            <w:tcW w:type="dxa" w:w="1872"/>
            <w:shd w:fill="F8FAFC"/>
            <w:tcMar>
              <w:top w:w="80" w:type="dxa"/>
              <w:bottom w:w="80" w:type="dxa"/>
              <w:left w:w="120" w:type="dxa"/>
              <w:right w:w="120" w:type="dxa"/>
            </w:tcMar>
          </w:tcPr>
          <w:p>
            <w:pPr>
              <w:jc w:val="left"/>
            </w:pPr>
            <w:r>
              <w:rPr>
                <w:color w:val="0F172A"/>
                <w:sz w:val="18"/>
              </w:rPr>
              <w:t>Google Maps JS API, Mapbox</w:t>
            </w:r>
          </w:p>
        </w:tc>
        <w:tc>
          <w:tcPr>
            <w:tcW w:type="dxa" w:w="4608"/>
            <w:shd w:fill="F8FAFC"/>
            <w:tcMar>
              <w:top w:w="80" w:type="dxa"/>
              <w:bottom w:w="80" w:type="dxa"/>
              <w:left w:w="120" w:type="dxa"/>
              <w:right w:w="120" w:type="dxa"/>
            </w:tcMar>
          </w:tcPr>
          <w:p>
            <w:pPr>
              <w:jc w:val="left"/>
            </w:pPr>
            <w:r>
              <w:rPr>
                <w:color w:val="0F172A"/>
                <w:sz w:val="18"/>
              </w:rPr>
              <w:t>Zero API billing/keys needed, lightweight, native GeoJSON polygon styling, smooth pinch-to-zoom on mobile.</w:t>
            </w:r>
          </w:p>
        </w:tc>
      </w:tr>
      <w:tr>
        <w:tc>
          <w:tcPr>
            <w:tcW w:type="dxa" w:w="1296"/>
            <w:shd w:fill="FFFFFF"/>
            <w:tcMar>
              <w:top w:w="80" w:type="dxa"/>
              <w:bottom w:w="80" w:type="dxa"/>
              <w:left w:w="120" w:type="dxa"/>
              <w:right w:w="120" w:type="dxa"/>
            </w:tcMar>
          </w:tcPr>
          <w:p>
            <w:pPr>
              <w:jc w:val="left"/>
            </w:pPr>
            <w:r>
              <w:rPr>
                <w:color w:val="0F172A"/>
                <w:sz w:val="18"/>
              </w:rPr>
              <w:t>Backend API</w:t>
            </w:r>
          </w:p>
        </w:tc>
        <w:tc>
          <w:tcPr>
            <w:tcW w:type="dxa" w:w="2160"/>
            <w:shd w:fill="FFFFFF"/>
            <w:tcMar>
              <w:top w:w="80" w:type="dxa"/>
              <w:bottom w:w="80" w:type="dxa"/>
              <w:left w:w="120" w:type="dxa"/>
              <w:right w:w="120" w:type="dxa"/>
            </w:tcMar>
          </w:tcPr>
          <w:p>
            <w:pPr>
              <w:jc w:val="left"/>
            </w:pPr>
            <w:r>
              <w:rPr>
                <w:color w:val="0F172A"/>
                <w:sz w:val="18"/>
              </w:rPr>
              <w:t>FastAPI + Uvicorn (Python 3.12)</w:t>
            </w:r>
          </w:p>
        </w:tc>
        <w:tc>
          <w:tcPr>
            <w:tcW w:type="dxa" w:w="1872"/>
            <w:shd w:fill="FFFFFF"/>
            <w:tcMar>
              <w:top w:w="80" w:type="dxa"/>
              <w:bottom w:w="80" w:type="dxa"/>
              <w:left w:w="120" w:type="dxa"/>
              <w:right w:w="120" w:type="dxa"/>
            </w:tcMar>
          </w:tcPr>
          <w:p>
            <w:pPr>
              <w:jc w:val="left"/>
            </w:pPr>
            <w:r>
              <w:rPr>
                <w:color w:val="0F172A"/>
                <w:sz w:val="18"/>
              </w:rPr>
              <w:t>Node.js Express, Django, Flask</w:t>
            </w:r>
          </w:p>
        </w:tc>
        <w:tc>
          <w:tcPr>
            <w:tcW w:type="dxa" w:w="4608"/>
            <w:shd w:fill="FFFFFF"/>
            <w:tcMar>
              <w:top w:w="80" w:type="dxa"/>
              <w:bottom w:w="80" w:type="dxa"/>
              <w:left w:w="120" w:type="dxa"/>
              <w:right w:w="120" w:type="dxa"/>
            </w:tcMar>
          </w:tcPr>
          <w:p>
            <w:pPr>
              <w:jc w:val="left"/>
            </w:pPr>
            <w:r>
              <w:rPr>
                <w:color w:val="0F172A"/>
                <w:sz w:val="18"/>
              </w:rPr>
              <w:t>Native async/await for parallel AI API calls, automatic Pydantic v2 data validation, native high-performance Python ML ecosystem.</w:t>
            </w:r>
          </w:p>
        </w:tc>
      </w:tr>
      <w:tr>
        <w:tc>
          <w:tcPr>
            <w:tcW w:type="dxa" w:w="1296"/>
            <w:shd w:fill="F8FAFC"/>
            <w:tcMar>
              <w:top w:w="80" w:type="dxa"/>
              <w:bottom w:w="80" w:type="dxa"/>
              <w:left w:w="120" w:type="dxa"/>
              <w:right w:w="120" w:type="dxa"/>
            </w:tcMar>
          </w:tcPr>
          <w:p>
            <w:pPr>
              <w:jc w:val="left"/>
            </w:pPr>
            <w:r>
              <w:rPr>
                <w:color w:val="0F172A"/>
                <w:sz w:val="18"/>
              </w:rPr>
              <w:t>Agent Orchestration</w:t>
            </w:r>
          </w:p>
        </w:tc>
        <w:tc>
          <w:tcPr>
            <w:tcW w:type="dxa" w:w="2160"/>
            <w:shd w:fill="F8FAFC"/>
            <w:tcMar>
              <w:top w:w="80" w:type="dxa"/>
              <w:bottom w:w="80" w:type="dxa"/>
              <w:left w:w="120" w:type="dxa"/>
              <w:right w:w="120" w:type="dxa"/>
            </w:tcMar>
          </w:tcPr>
          <w:p>
            <w:pPr>
              <w:jc w:val="left"/>
            </w:pPr>
            <w:r>
              <w:rPr>
                <w:color w:val="0F172A"/>
                <w:sz w:val="18"/>
              </w:rPr>
              <w:t>LangGraph StateGraph</w:t>
            </w:r>
          </w:p>
        </w:tc>
        <w:tc>
          <w:tcPr>
            <w:tcW w:type="dxa" w:w="1872"/>
            <w:shd w:fill="F8FAFC"/>
            <w:tcMar>
              <w:top w:w="80" w:type="dxa"/>
              <w:bottom w:w="80" w:type="dxa"/>
              <w:left w:w="120" w:type="dxa"/>
              <w:right w:w="120" w:type="dxa"/>
            </w:tcMar>
          </w:tcPr>
          <w:p>
            <w:pPr>
              <w:jc w:val="left"/>
            </w:pPr>
            <w:r>
              <w:rPr>
                <w:color w:val="0F172A"/>
                <w:sz w:val="18"/>
              </w:rPr>
              <w:t>CrewAI, AutoGen, Raw LangChain</w:t>
            </w:r>
          </w:p>
        </w:tc>
        <w:tc>
          <w:tcPr>
            <w:tcW w:type="dxa" w:w="4608"/>
            <w:shd w:fill="F8FAFC"/>
            <w:tcMar>
              <w:top w:w="80" w:type="dxa"/>
              <w:bottom w:w="80" w:type="dxa"/>
              <w:left w:w="120" w:type="dxa"/>
              <w:right w:w="120" w:type="dxa"/>
            </w:tcMar>
          </w:tcPr>
          <w:p>
            <w:pPr>
              <w:jc w:val="left"/>
            </w:pPr>
            <w:r>
              <w:rPr>
                <w:color w:val="0F172A"/>
                <w:sz w:val="18"/>
              </w:rPr>
              <w:t>Explicit stateful cyclic graph, predictable state transitions, native checkpointing, auditable decision traces.</w:t>
            </w:r>
          </w:p>
        </w:tc>
      </w:tr>
      <w:tr>
        <w:tc>
          <w:tcPr>
            <w:tcW w:type="dxa" w:w="1296"/>
            <w:shd w:fill="FFFFFF"/>
            <w:tcMar>
              <w:top w:w="80" w:type="dxa"/>
              <w:bottom w:w="80" w:type="dxa"/>
              <w:left w:w="120" w:type="dxa"/>
              <w:right w:w="120" w:type="dxa"/>
            </w:tcMar>
          </w:tcPr>
          <w:p>
            <w:pPr>
              <w:jc w:val="left"/>
            </w:pPr>
            <w:r>
              <w:rPr>
                <w:color w:val="0F172A"/>
                <w:sz w:val="18"/>
              </w:rPr>
              <w:t>Voice Engine</w:t>
            </w:r>
          </w:p>
        </w:tc>
        <w:tc>
          <w:tcPr>
            <w:tcW w:type="dxa" w:w="2160"/>
            <w:shd w:fill="FFFFFF"/>
            <w:tcMar>
              <w:top w:w="80" w:type="dxa"/>
              <w:bottom w:w="80" w:type="dxa"/>
              <w:left w:w="120" w:type="dxa"/>
              <w:right w:w="120" w:type="dxa"/>
            </w:tcMar>
          </w:tcPr>
          <w:p>
            <w:pPr>
              <w:jc w:val="left"/>
            </w:pPr>
            <w:r>
              <w:rPr>
                <w:color w:val="0F172A"/>
                <w:sz w:val="18"/>
              </w:rPr>
              <w:t>Groq Whisper LPU + Web Speech</w:t>
            </w:r>
          </w:p>
        </w:tc>
        <w:tc>
          <w:tcPr>
            <w:tcW w:type="dxa" w:w="1872"/>
            <w:shd w:fill="FFFFFF"/>
            <w:tcMar>
              <w:top w:w="80" w:type="dxa"/>
              <w:bottom w:w="80" w:type="dxa"/>
              <w:left w:w="120" w:type="dxa"/>
              <w:right w:w="120" w:type="dxa"/>
            </w:tcMar>
          </w:tcPr>
          <w:p>
            <w:pPr>
              <w:jc w:val="left"/>
            </w:pPr>
            <w:r>
              <w:rPr>
                <w:color w:val="0F172A"/>
                <w:sz w:val="18"/>
              </w:rPr>
              <w:t>Google Cloud STT, AWS Transcribe</w:t>
            </w:r>
          </w:p>
        </w:tc>
        <w:tc>
          <w:tcPr>
            <w:tcW w:type="dxa" w:w="4608"/>
            <w:shd w:fill="FFFFFF"/>
            <w:tcMar>
              <w:top w:w="80" w:type="dxa"/>
              <w:bottom w:w="80" w:type="dxa"/>
              <w:left w:w="120" w:type="dxa"/>
              <w:right w:w="120" w:type="dxa"/>
            </w:tcMar>
          </w:tcPr>
          <w:p>
            <w:pPr>
              <w:jc w:val="left"/>
            </w:pPr>
            <w:r>
              <w:rPr>
                <w:color w:val="0F172A"/>
                <w:sz w:val="18"/>
              </w:rPr>
              <w:t>Sub-second (320ms) Groq LPU inference avoids farmer wait-time; Web Speech API provides zero-cost zero-latency fallback.</w:t>
            </w:r>
          </w:p>
        </w:tc>
      </w:tr>
      <w:tr>
        <w:tc>
          <w:tcPr>
            <w:tcW w:type="dxa" w:w="1296"/>
            <w:shd w:fill="F8FAFC"/>
            <w:tcMar>
              <w:top w:w="80" w:type="dxa"/>
              <w:bottom w:w="80" w:type="dxa"/>
              <w:left w:w="120" w:type="dxa"/>
              <w:right w:w="120" w:type="dxa"/>
            </w:tcMar>
          </w:tcPr>
          <w:p>
            <w:pPr>
              <w:jc w:val="left"/>
            </w:pPr>
            <w:r>
              <w:rPr>
                <w:color w:val="0F172A"/>
                <w:sz w:val="18"/>
              </w:rPr>
              <w:t>Spatial Math</w:t>
            </w:r>
          </w:p>
        </w:tc>
        <w:tc>
          <w:tcPr>
            <w:tcW w:type="dxa" w:w="2160"/>
            <w:shd w:fill="F8FAFC"/>
            <w:tcMar>
              <w:top w:w="80" w:type="dxa"/>
              <w:bottom w:w="80" w:type="dxa"/>
              <w:left w:w="120" w:type="dxa"/>
              <w:right w:w="120" w:type="dxa"/>
            </w:tcMar>
          </w:tcPr>
          <w:p>
            <w:pPr>
              <w:jc w:val="left"/>
            </w:pPr>
            <w:r>
              <w:rPr>
                <w:color w:val="0F172A"/>
                <w:sz w:val="18"/>
              </w:rPr>
              <w:t>Turf.js &amp; GeoJSON</w:t>
            </w:r>
          </w:p>
        </w:tc>
        <w:tc>
          <w:tcPr>
            <w:tcW w:type="dxa" w:w="1872"/>
            <w:shd w:fill="F8FAFC"/>
            <w:tcMar>
              <w:top w:w="80" w:type="dxa"/>
              <w:bottom w:w="80" w:type="dxa"/>
              <w:left w:w="120" w:type="dxa"/>
              <w:right w:w="120" w:type="dxa"/>
            </w:tcMar>
          </w:tcPr>
          <w:p>
            <w:pPr>
              <w:jc w:val="left"/>
            </w:pPr>
            <w:r>
              <w:rPr>
                <w:color w:val="0F172A"/>
                <w:sz w:val="18"/>
              </w:rPr>
              <w:t>PostGIS, Shapely DB</w:t>
            </w:r>
          </w:p>
        </w:tc>
        <w:tc>
          <w:tcPr>
            <w:tcW w:type="dxa" w:w="4608"/>
            <w:shd w:fill="F8FAFC"/>
            <w:tcMar>
              <w:top w:w="80" w:type="dxa"/>
              <w:bottom w:w="80" w:type="dxa"/>
              <w:left w:w="120" w:type="dxa"/>
              <w:right w:w="120" w:type="dxa"/>
            </w:tcMar>
          </w:tcPr>
          <w:p>
            <w:pPr>
              <w:jc w:val="left"/>
            </w:pPr>
            <w:r>
              <w:rPr>
                <w:color w:val="0F172A"/>
                <w:sz w:val="18"/>
              </w:rPr>
              <w:t>In-memory geometry calculations (centroid, bounding box, area in acres) without requiring a heavyweight PostGIS database.</w:t>
            </w:r>
          </w:p>
        </w:tc>
      </w:tr>
      <w:tr>
        <w:tc>
          <w:tcPr>
            <w:tcW w:type="dxa" w:w="1296"/>
            <w:shd w:fill="FFFFFF"/>
            <w:tcMar>
              <w:top w:w="80" w:type="dxa"/>
              <w:bottom w:w="80" w:type="dxa"/>
              <w:left w:w="120" w:type="dxa"/>
              <w:right w:w="120" w:type="dxa"/>
            </w:tcMar>
          </w:tcPr>
          <w:p>
            <w:pPr>
              <w:jc w:val="left"/>
            </w:pPr>
            <w:r>
              <w:rPr>
                <w:color w:val="0F172A"/>
                <w:sz w:val="18"/>
              </w:rPr>
              <w:t>Styling &amp; A11y</w:t>
            </w:r>
          </w:p>
        </w:tc>
        <w:tc>
          <w:tcPr>
            <w:tcW w:type="dxa" w:w="2160"/>
            <w:shd w:fill="FFFFFF"/>
            <w:tcMar>
              <w:top w:w="80" w:type="dxa"/>
              <w:bottom w:w="80" w:type="dxa"/>
              <w:left w:w="120" w:type="dxa"/>
              <w:right w:w="120" w:type="dxa"/>
            </w:tcMar>
          </w:tcPr>
          <w:p>
            <w:pPr>
              <w:jc w:val="left"/>
            </w:pPr>
            <w:r>
              <w:rPr>
                <w:color w:val="0F172A"/>
                <w:sz w:val="18"/>
              </w:rPr>
              <w:t>Tailwind CSS v4 + Lucide Icons</w:t>
            </w:r>
          </w:p>
        </w:tc>
        <w:tc>
          <w:tcPr>
            <w:tcW w:type="dxa" w:w="1872"/>
            <w:shd w:fill="FFFFFF"/>
            <w:tcMar>
              <w:top w:w="80" w:type="dxa"/>
              <w:bottom w:w="80" w:type="dxa"/>
              <w:left w:w="120" w:type="dxa"/>
              <w:right w:w="120" w:type="dxa"/>
            </w:tcMar>
          </w:tcPr>
          <w:p>
            <w:pPr>
              <w:jc w:val="left"/>
            </w:pPr>
            <w:r>
              <w:rPr>
                <w:color w:val="0F172A"/>
                <w:sz w:val="18"/>
              </w:rPr>
              <w:t>Material UI, Ant Design</w:t>
            </w:r>
          </w:p>
        </w:tc>
        <w:tc>
          <w:tcPr>
            <w:tcW w:type="dxa" w:w="4608"/>
            <w:shd w:fill="FFFFFF"/>
            <w:tcMar>
              <w:top w:w="80" w:type="dxa"/>
              <w:bottom w:w="80" w:type="dxa"/>
              <w:left w:w="120" w:type="dxa"/>
              <w:right w:w="120" w:type="dxa"/>
            </w:tcMar>
          </w:tcPr>
          <w:p>
            <w:pPr>
              <w:jc w:val="left"/>
            </w:pPr>
            <w:r>
              <w:rPr>
                <w:color w:val="0F172A"/>
                <w:sz w:val="18"/>
              </w:rPr>
              <w:t>Minimal CSS footprint, high-contrast accessible agricultural design, large touch targets for field use.</w:t>
            </w:r>
          </w:p>
        </w:tc>
      </w:tr>
    </w:tbl>
    <w:p>
      <w:pPr>
        <w:spacing w:after="120"/>
      </w:pPr>
    </w:p>
    <w:p>
      <w:pPr>
        <w:keepNext/>
        <w:spacing w:before="360" w:after="120"/>
      </w:pPr>
      <w:r>
        <w:rPr>
          <w:b/>
          <w:color w:val="065F46"/>
          <w:sz w:val="32"/>
        </w:rPr>
        <w:t>4. Dataset Deep-Dive: Origins, Structure &amp; Real vs Synthetic Data</w:t>
      </w:r>
    </w:p>
    <w:p>
      <w:r>
        <w:t>A critical evaluation criteria in Task 1 is data provenance, labeling, and handling of restricted datasets. Here is how data is architected:</w:t>
      </w:r>
    </w:p>
    <w:p>
      <w:r>
        <w:rPr>
          <w:b/>
          <w:color w:val="0F172A"/>
        </w:rPr>
        <w:t xml:space="preserve">• Ground_truth_Points.csv (14,643 Rows): </w:t>
      </w:r>
      <w:r>
        <w:t>Origin: Real agricultural field survey points collected from Sivagiri Taluk, Tenkasi District, and Thoothukudi District, Tamil Nadu. Attributes include: Survey Number (`survey_n_1`), Sub-division (`sub_divi_1`), GPS Coordinates (`final_lat`, `final_long`), Village LG Directory Code (`Village LG`), Crop Name (`crop_name`), Growth Stage (`stage`), and linked Field Photograph Filename (`image_path`).</w:t>
      </w:r>
    </w:p>
    <w:p>
      <w:r>
        <w:rPr>
          <w:b/>
          <w:color w:val="0F172A"/>
        </w:rPr>
        <w:t xml:space="preserve">• Park_Cadastral_Map.geojson &amp; Park_fmb_Map.geojson: </w:t>
      </w:r>
      <w:r>
        <w:t>Origin: Official cadastral revenue village boundary maps and Field Measurement Book (FMB) survey polygons. Converted into standard WGS84 GeoJSON. Provides authentic spatial boundaries, sub-division delineations, and acreage computations.</w:t>
      </w:r>
    </w:p>
    <w:p>
      <w:r>
        <w:rPr>
          <w:b/>
          <w:color w:val="0F172A"/>
        </w:rPr>
        <w:t xml:space="preserve">• Ground-Truth Field Photograph Archive (521 Images): </w:t>
      </w:r>
      <w:r>
        <w:t>Origin: Geotagged high-resolution field photos capturing real crop plots: Paddy (Oryza sativa), Coconut palms, Cotton bolls, Groundnut pods, and Maize in diverse phenological stages.</w:t>
      </w:r>
    </w:p>
    <w:p>
      <w:r>
        <w:rPr>
          <w:b/>
          <w:color w:val="0F172A"/>
        </w:rPr>
        <w:t xml:space="preserve">• TNAU &amp; ICAR Knowledge Corpus: </w:t>
      </w:r>
      <w:r>
        <w:t>Origin: Tamil Nadu Agricultural University Crop Production Guides and ICAR package of practices. Indexed in-memory for instant grounded retrieval of fertilizer schedules, pest management thresholds, and seed treatments.</w:t>
      </w:r>
    </w:p>
    <w:p>
      <w:r>
        <w:rPr>
          <w:b/>
          <w:color w:val="0F172A"/>
        </w:rPr>
        <w:t xml:space="preserve">• APMC Mandi Price Index: </w:t>
      </w:r>
      <w:r>
        <w:t>Origin: Daily modal prices, minimum/maximum trading rates across Tamil Nadu APMC agricultural markets (Tenkasi, Tirunelveli, Madurai) for Paddy, Cotton, Groundnut, and Maize.</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Pr>
          <w:p>
            <w:pPr>
              <w:spacing w:after="40"/>
            </w:pPr>
            <w:r>
              <w:rPr>
                <w:b/>
                <w:color w:val="065F46"/>
                <w:sz w:val="20"/>
              </w:rPr>
              <w:t>★ COMPLIANCE &amp; DATA PRIVACY</w:t>
              <w:br/>
            </w:r>
            <w:r>
              <w:rPr>
                <w:color w:val="166534"/>
                <w:sz w:val="20"/>
              </w:rPr>
              <w:t>COMPLIANCE HIGHLIGHT: The system strictly adheres to FarmwiseAI contest rules. All data origin is explicitly labeled (Ground Truth / Public Agro-Met / TNAU Public Corpus / User-Uploaded). Personally identifiable land owner names are masked by default (e.g., 'R. K****') to respect farmer privacy.</w:t>
            </w:r>
          </w:p>
        </w:tc>
      </w:tr>
    </w:tbl>
    <w:p>
      <w:pPr>
        <w:spacing w:after="120"/>
      </w:pPr>
    </w:p>
    <w:p>
      <w:pPr>
        <w:keepNext/>
        <w:spacing w:before="360" w:after="120"/>
      </w:pPr>
      <w:r>
        <w:rPr>
          <w:b/>
          <w:color w:val="065F46"/>
          <w:sz w:val="32"/>
        </w:rPr>
        <w:t>5. Endpoint Specifications: Map &amp; Weather Micro-Services</w:t>
      </w:r>
    </w:p>
    <w:p>
      <w:r>
        <w:t>The backend exposes clean REST endpoints consumed by the React UI. Evaluators frequently ask about the contracts and spatial calculations behind them:</w:t>
      </w:r>
    </w:p>
    <w:tbl>
      <w:tblPr>
        <w:tblW w:type="auto" w:w="0"/>
        <w:jc w:val="center"/>
        <w:tblLook w:firstColumn="1" w:firstRow="1" w:lastColumn="0" w:lastRow="0" w:noHBand="0" w:noVBand="1" w:val="04A0"/>
      </w:tblPr>
      <w:tblGrid>
        <w:gridCol w:w="2484"/>
        <w:gridCol w:w="2484"/>
        <w:gridCol w:w="2484"/>
        <w:gridCol w:w="2484"/>
      </w:tblGrid>
      <w:tr>
        <w:tc>
          <w:tcPr>
            <w:tcW w:type="dxa" w:w="2160"/>
            <w:shd w:fill="065F46"/>
            <w:tcMar>
              <w:top w:w="100" w:type="dxa"/>
              <w:bottom w:w="100" w:type="dxa"/>
              <w:left w:w="120" w:type="dxa"/>
              <w:right w:w="120" w:type="dxa"/>
            </w:tcMar>
          </w:tcPr>
          <w:p>
            <w:pPr>
              <w:jc w:val="left"/>
            </w:pPr>
            <w:r>
              <w:rPr>
                <w:b/>
                <w:color w:val="FFFFFF"/>
                <w:sz w:val="19"/>
              </w:rPr>
              <w:t>Endpoint</w:t>
            </w:r>
          </w:p>
        </w:tc>
        <w:tc>
          <w:tcPr>
            <w:tcW w:type="dxa" w:w="1152"/>
            <w:shd w:fill="065F46"/>
            <w:tcMar>
              <w:top w:w="100" w:type="dxa"/>
              <w:bottom w:w="100" w:type="dxa"/>
              <w:left w:w="120" w:type="dxa"/>
              <w:right w:w="120" w:type="dxa"/>
            </w:tcMar>
          </w:tcPr>
          <w:p>
            <w:pPr>
              <w:jc w:val="left"/>
            </w:pPr>
            <w:r>
              <w:rPr>
                <w:b/>
                <w:color w:val="FFFFFF"/>
                <w:sz w:val="19"/>
              </w:rPr>
              <w:t>HTTP Method</w:t>
            </w:r>
          </w:p>
        </w:tc>
        <w:tc>
          <w:tcPr>
            <w:tcW w:type="dxa" w:w="2016"/>
            <w:shd w:fill="065F46"/>
            <w:tcMar>
              <w:top w:w="100" w:type="dxa"/>
              <w:bottom w:w="100" w:type="dxa"/>
              <w:left w:w="120" w:type="dxa"/>
              <w:right w:w="120" w:type="dxa"/>
            </w:tcMar>
          </w:tcPr>
          <w:p>
            <w:pPr>
              <w:jc w:val="left"/>
            </w:pPr>
            <w:r>
              <w:rPr>
                <w:b/>
                <w:color w:val="FFFFFF"/>
                <w:sz w:val="19"/>
              </w:rPr>
              <w:t>Parameters</w:t>
            </w:r>
          </w:p>
        </w:tc>
        <w:tc>
          <w:tcPr>
            <w:tcW w:type="dxa" w:w="4608"/>
            <w:shd w:fill="065F46"/>
            <w:tcMar>
              <w:top w:w="100" w:type="dxa"/>
              <w:bottom w:w="100" w:type="dxa"/>
              <w:left w:w="120" w:type="dxa"/>
              <w:right w:w="120" w:type="dxa"/>
            </w:tcMar>
          </w:tcPr>
          <w:p>
            <w:pPr>
              <w:jc w:val="left"/>
            </w:pPr>
            <w:r>
              <w:rPr>
                <w:b/>
                <w:color w:val="FFFFFF"/>
                <w:sz w:val="19"/>
              </w:rPr>
              <w:t>Data Processed &amp; Return Schema</w:t>
            </w:r>
          </w:p>
        </w:tc>
      </w:tr>
      <w:tr>
        <w:tc>
          <w:tcPr>
            <w:tcW w:type="dxa" w:w="2160"/>
            <w:shd w:fill="FFFFFF"/>
            <w:tcMar>
              <w:top w:w="80" w:type="dxa"/>
              <w:bottom w:w="80" w:type="dxa"/>
              <w:left w:w="120" w:type="dxa"/>
              <w:right w:w="120" w:type="dxa"/>
            </w:tcMar>
          </w:tcPr>
          <w:p>
            <w:pPr>
              <w:jc w:val="left"/>
            </w:pPr>
            <w:r>
              <w:rPr>
                <w:color w:val="0F172A"/>
                <w:sz w:val="18"/>
              </w:rPr>
              <w:t>/api/parcels/search</w:t>
            </w:r>
          </w:p>
        </w:tc>
        <w:tc>
          <w:tcPr>
            <w:tcW w:type="dxa" w:w="1152"/>
            <w:shd w:fill="FFFFFF"/>
            <w:tcMar>
              <w:top w:w="80" w:type="dxa"/>
              <w:bottom w:w="80" w:type="dxa"/>
              <w:left w:w="120" w:type="dxa"/>
              <w:right w:w="120" w:type="dxa"/>
            </w:tcMar>
          </w:tcPr>
          <w:p>
            <w:pPr>
              <w:jc w:val="left"/>
            </w:pPr>
            <w:r>
              <w:rPr>
                <w:color w:val="0F172A"/>
                <w:sz w:val="18"/>
              </w:rPr>
              <w:t>GET</w:t>
            </w:r>
          </w:p>
        </w:tc>
        <w:tc>
          <w:tcPr>
            <w:tcW w:type="dxa" w:w="2016"/>
            <w:shd w:fill="FFFFFF"/>
            <w:tcMar>
              <w:top w:w="80" w:type="dxa"/>
              <w:bottom w:w="80" w:type="dxa"/>
              <w:left w:w="120" w:type="dxa"/>
              <w:right w:w="120" w:type="dxa"/>
            </w:tcMar>
          </w:tcPr>
          <w:p>
            <w:pPr>
              <w:jc w:val="left"/>
            </w:pPr>
            <w:r>
              <w:rPr>
                <w:color w:val="0F172A"/>
                <w:sz w:val="18"/>
              </w:rPr>
              <w:t>q (string query)</w:t>
            </w:r>
          </w:p>
        </w:tc>
        <w:tc>
          <w:tcPr>
            <w:tcW w:type="dxa" w:w="4608"/>
            <w:shd w:fill="FFFFFF"/>
            <w:tcMar>
              <w:top w:w="80" w:type="dxa"/>
              <w:bottom w:w="80" w:type="dxa"/>
              <w:left w:w="120" w:type="dxa"/>
              <w:right w:w="120" w:type="dxa"/>
            </w:tcMar>
          </w:tcPr>
          <w:p>
            <w:pPr>
              <w:jc w:val="left"/>
            </w:pPr>
            <w:r>
              <w:rPr>
                <w:color w:val="0F172A"/>
                <w:sz w:val="18"/>
              </w:rPr>
              <w:t>Prefix &amp; substring search across 14,643 survey points. Returns top 12 matches with crop, village, and lat/lon.</w:t>
            </w:r>
          </w:p>
        </w:tc>
      </w:tr>
      <w:tr>
        <w:tc>
          <w:tcPr>
            <w:tcW w:type="dxa" w:w="2160"/>
            <w:shd w:fill="F8FAFC"/>
            <w:tcMar>
              <w:top w:w="80" w:type="dxa"/>
              <w:bottom w:w="80" w:type="dxa"/>
              <w:left w:w="120" w:type="dxa"/>
              <w:right w:w="120" w:type="dxa"/>
            </w:tcMar>
          </w:tcPr>
          <w:p>
            <w:pPr>
              <w:jc w:val="left"/>
            </w:pPr>
            <w:r>
              <w:rPr>
                <w:color w:val="0F172A"/>
                <w:sz w:val="18"/>
              </w:rPr>
              <w:t>/api/parcels/{survey_number}</w:t>
            </w:r>
          </w:p>
        </w:tc>
        <w:tc>
          <w:tcPr>
            <w:tcW w:type="dxa" w:w="1152"/>
            <w:shd w:fill="F8FAFC"/>
            <w:tcMar>
              <w:top w:w="80" w:type="dxa"/>
              <w:bottom w:w="80" w:type="dxa"/>
              <w:left w:w="120" w:type="dxa"/>
              <w:right w:w="120" w:type="dxa"/>
            </w:tcMar>
          </w:tcPr>
          <w:p>
            <w:pPr>
              <w:jc w:val="left"/>
            </w:pPr>
            <w:r>
              <w:rPr>
                <w:color w:val="0F172A"/>
                <w:sz w:val="18"/>
              </w:rPr>
              <w:t>GET</w:t>
            </w:r>
          </w:p>
        </w:tc>
        <w:tc>
          <w:tcPr>
            <w:tcW w:type="dxa" w:w="2016"/>
            <w:shd w:fill="F8FAFC"/>
            <w:tcMar>
              <w:top w:w="80" w:type="dxa"/>
              <w:bottom w:w="80" w:type="dxa"/>
              <w:left w:w="120" w:type="dxa"/>
              <w:right w:w="120" w:type="dxa"/>
            </w:tcMar>
          </w:tcPr>
          <w:p>
            <w:pPr>
              <w:jc w:val="left"/>
            </w:pPr>
            <w:r>
              <w:rPr>
                <w:color w:val="0F172A"/>
                <w:sz w:val="18"/>
              </w:rPr>
              <w:t>survey_number (path)</w:t>
            </w:r>
          </w:p>
        </w:tc>
        <w:tc>
          <w:tcPr>
            <w:tcW w:type="dxa" w:w="4608"/>
            <w:shd w:fill="F8FAFC"/>
            <w:tcMar>
              <w:top w:w="80" w:type="dxa"/>
              <w:bottom w:w="80" w:type="dxa"/>
              <w:left w:w="120" w:type="dxa"/>
              <w:right w:w="120" w:type="dxa"/>
            </w:tcMar>
          </w:tcPr>
          <w:p>
            <w:pPr>
              <w:jc w:val="left"/>
            </w:pPr>
            <w:r>
              <w:rPr>
                <w:color w:val="0F172A"/>
                <w:sz w:val="18"/>
              </w:rPr>
              <w:t>Returns full ParcelRecord: centroid lat/lon, village name, taluk, recorded crop/stage, and matching GeoJSON polygon geometry.</w:t>
            </w:r>
          </w:p>
        </w:tc>
      </w:tr>
      <w:tr>
        <w:tc>
          <w:tcPr>
            <w:tcW w:type="dxa" w:w="2160"/>
            <w:shd w:fill="FFFFFF"/>
            <w:tcMar>
              <w:top w:w="80" w:type="dxa"/>
              <w:bottom w:w="80" w:type="dxa"/>
              <w:left w:w="120" w:type="dxa"/>
              <w:right w:w="120" w:type="dxa"/>
            </w:tcMar>
          </w:tcPr>
          <w:p>
            <w:pPr>
              <w:jc w:val="left"/>
            </w:pPr>
            <w:r>
              <w:rPr>
                <w:color w:val="0F172A"/>
                <w:sz w:val="18"/>
              </w:rPr>
              <w:t>/api/weather/parcel/{survey_number}</w:t>
            </w:r>
          </w:p>
        </w:tc>
        <w:tc>
          <w:tcPr>
            <w:tcW w:type="dxa" w:w="1152"/>
            <w:shd w:fill="FFFFFF"/>
            <w:tcMar>
              <w:top w:w="80" w:type="dxa"/>
              <w:bottom w:w="80" w:type="dxa"/>
              <w:left w:w="120" w:type="dxa"/>
              <w:right w:w="120" w:type="dxa"/>
            </w:tcMar>
          </w:tcPr>
          <w:p>
            <w:pPr>
              <w:jc w:val="left"/>
            </w:pPr>
            <w:r>
              <w:rPr>
                <w:color w:val="0F172A"/>
                <w:sz w:val="18"/>
              </w:rPr>
              <w:t>GET</w:t>
            </w:r>
          </w:p>
        </w:tc>
        <w:tc>
          <w:tcPr>
            <w:tcW w:type="dxa" w:w="2016"/>
            <w:shd w:fill="FFFFFF"/>
            <w:tcMar>
              <w:top w:w="80" w:type="dxa"/>
              <w:bottom w:w="80" w:type="dxa"/>
              <w:left w:w="120" w:type="dxa"/>
              <w:right w:w="120" w:type="dxa"/>
            </w:tcMar>
          </w:tcPr>
          <w:p>
            <w:pPr>
              <w:jc w:val="left"/>
            </w:pPr>
            <w:r>
              <w:rPr>
                <w:color w:val="0F172A"/>
                <w:sz w:val="18"/>
              </w:rPr>
              <w:t>survey_number (path)</w:t>
            </w:r>
          </w:p>
        </w:tc>
        <w:tc>
          <w:tcPr>
            <w:tcW w:type="dxa" w:w="4608"/>
            <w:shd w:fill="FFFFFF"/>
            <w:tcMar>
              <w:top w:w="80" w:type="dxa"/>
              <w:bottom w:w="80" w:type="dxa"/>
              <w:left w:w="120" w:type="dxa"/>
              <w:right w:w="120" w:type="dxa"/>
            </w:tcMar>
          </w:tcPr>
          <w:p>
            <w:pPr>
              <w:jc w:val="left"/>
            </w:pPr>
            <w:r>
              <w:rPr>
                <w:color w:val="0F172A"/>
                <w:sz w:val="18"/>
              </w:rPr>
              <w:t>Resolves parcel centroid, queries Open-Meteo API. Returns temp, humidity, wind speed, rain probability, and safe spray window recommendation.</w:t>
            </w:r>
          </w:p>
        </w:tc>
      </w:tr>
      <w:tr>
        <w:tc>
          <w:tcPr>
            <w:tcW w:type="dxa" w:w="2160"/>
            <w:shd w:fill="F8FAFC"/>
            <w:tcMar>
              <w:top w:w="80" w:type="dxa"/>
              <w:bottom w:w="80" w:type="dxa"/>
              <w:left w:w="120" w:type="dxa"/>
              <w:right w:w="120" w:type="dxa"/>
            </w:tcMar>
          </w:tcPr>
          <w:p>
            <w:pPr>
              <w:jc w:val="left"/>
            </w:pPr>
            <w:r>
              <w:rPr>
                <w:color w:val="0F172A"/>
                <w:sz w:val="18"/>
              </w:rPr>
              <w:t>/api/advisory/run</w:t>
            </w:r>
          </w:p>
        </w:tc>
        <w:tc>
          <w:tcPr>
            <w:tcW w:type="dxa" w:w="1152"/>
            <w:shd w:fill="F8FAFC"/>
            <w:tcMar>
              <w:top w:w="80" w:type="dxa"/>
              <w:bottom w:w="80" w:type="dxa"/>
              <w:left w:w="120" w:type="dxa"/>
              <w:right w:w="120" w:type="dxa"/>
            </w:tcMar>
          </w:tcPr>
          <w:p>
            <w:pPr>
              <w:jc w:val="left"/>
            </w:pPr>
            <w:r>
              <w:rPr>
                <w:color w:val="0F172A"/>
                <w:sz w:val="18"/>
              </w:rPr>
              <w:t>POST</w:t>
            </w:r>
          </w:p>
        </w:tc>
        <w:tc>
          <w:tcPr>
            <w:tcW w:type="dxa" w:w="2016"/>
            <w:shd w:fill="F8FAFC"/>
            <w:tcMar>
              <w:top w:w="80" w:type="dxa"/>
              <w:bottom w:w="80" w:type="dxa"/>
              <w:left w:w="120" w:type="dxa"/>
              <w:right w:w="120" w:type="dxa"/>
            </w:tcMar>
          </w:tcPr>
          <w:p>
            <w:pPr>
              <w:jc w:val="left"/>
            </w:pPr>
            <w:r>
              <w:rPr>
                <w:color w:val="0F172A"/>
                <w:sz w:val="18"/>
              </w:rPr>
              <w:t>survey_number, query, image_filename</w:t>
            </w:r>
          </w:p>
        </w:tc>
        <w:tc>
          <w:tcPr>
            <w:tcW w:type="dxa" w:w="4608"/>
            <w:shd w:fill="F8FAFC"/>
            <w:tcMar>
              <w:top w:w="80" w:type="dxa"/>
              <w:bottom w:w="80" w:type="dxa"/>
              <w:left w:w="120" w:type="dxa"/>
              <w:right w:w="120" w:type="dxa"/>
            </w:tcMar>
          </w:tcPr>
          <w:p>
            <w:pPr>
              <w:jc w:val="left"/>
            </w:pPr>
            <w:r>
              <w:rPr>
                <w:color w:val="0F172A"/>
                <w:sz w:val="18"/>
              </w:rPr>
              <w:t>Triggers full LangGraph multi-agent pipeline. Returns AdvisoryOutput: parcel, crop_analysis, weather, verification, advisory, and decision trace.</w:t>
            </w:r>
          </w:p>
        </w:tc>
      </w:tr>
      <w:tr>
        <w:tc>
          <w:tcPr>
            <w:tcW w:type="dxa" w:w="2160"/>
            <w:shd w:fill="FFFFFF"/>
            <w:tcMar>
              <w:top w:w="80" w:type="dxa"/>
              <w:bottom w:w="80" w:type="dxa"/>
              <w:left w:w="120" w:type="dxa"/>
              <w:right w:w="120" w:type="dxa"/>
            </w:tcMar>
          </w:tcPr>
          <w:p>
            <w:pPr>
              <w:jc w:val="left"/>
            </w:pPr>
            <w:r>
              <w:rPr>
                <w:color w:val="0F172A"/>
                <w:sz w:val="18"/>
              </w:rPr>
              <w:t>/api/upload</w:t>
            </w:r>
          </w:p>
        </w:tc>
        <w:tc>
          <w:tcPr>
            <w:tcW w:type="dxa" w:w="1152"/>
            <w:shd w:fill="FFFFFF"/>
            <w:tcMar>
              <w:top w:w="80" w:type="dxa"/>
              <w:bottom w:w="80" w:type="dxa"/>
              <w:left w:w="120" w:type="dxa"/>
              <w:right w:w="120" w:type="dxa"/>
            </w:tcMar>
          </w:tcPr>
          <w:p>
            <w:pPr>
              <w:jc w:val="left"/>
            </w:pPr>
            <w:r>
              <w:rPr>
                <w:color w:val="0F172A"/>
                <w:sz w:val="18"/>
              </w:rPr>
              <w:t>POST</w:t>
            </w:r>
          </w:p>
        </w:tc>
        <w:tc>
          <w:tcPr>
            <w:tcW w:type="dxa" w:w="2016"/>
            <w:shd w:fill="FFFFFF"/>
            <w:tcMar>
              <w:top w:w="80" w:type="dxa"/>
              <w:bottom w:w="80" w:type="dxa"/>
              <w:left w:w="120" w:type="dxa"/>
              <w:right w:w="120" w:type="dxa"/>
            </w:tcMar>
          </w:tcPr>
          <w:p>
            <w:pPr>
              <w:jc w:val="left"/>
            </w:pPr>
            <w:r>
              <w:rPr>
                <w:color w:val="0F172A"/>
                <w:sz w:val="18"/>
              </w:rPr>
              <w:t>file (multipart/form-data)</w:t>
            </w:r>
          </w:p>
        </w:tc>
        <w:tc>
          <w:tcPr>
            <w:tcW w:type="dxa" w:w="4608"/>
            <w:shd w:fill="FFFFFF"/>
            <w:tcMar>
              <w:top w:w="80" w:type="dxa"/>
              <w:bottom w:w="80" w:type="dxa"/>
              <w:left w:w="120" w:type="dxa"/>
              <w:right w:w="120" w:type="dxa"/>
            </w:tcMar>
          </w:tcPr>
          <w:p>
            <w:pPr>
              <w:jc w:val="left"/>
            </w:pPr>
            <w:r>
              <w:rPr>
                <w:color w:val="0F172A"/>
                <w:sz w:val="18"/>
              </w:rPr>
              <w:t>Saves field photo locally, triggers asynchronous backup to AWS S3 bucket fai-tce-team06-crop-intel. Returns unique filename and media URL.</w:t>
            </w:r>
          </w:p>
        </w:tc>
      </w:tr>
      <w:tr>
        <w:tc>
          <w:tcPr>
            <w:tcW w:type="dxa" w:w="2160"/>
            <w:shd w:fill="F8FAFC"/>
            <w:tcMar>
              <w:top w:w="80" w:type="dxa"/>
              <w:bottom w:w="80" w:type="dxa"/>
              <w:left w:w="120" w:type="dxa"/>
              <w:right w:w="120" w:type="dxa"/>
            </w:tcMar>
          </w:tcPr>
          <w:p>
            <w:pPr>
              <w:jc w:val="left"/>
            </w:pPr>
            <w:r>
              <w:rPr>
                <w:color w:val="0F172A"/>
                <w:sz w:val="18"/>
              </w:rPr>
              <w:t>/api/voice/transcribe</w:t>
            </w:r>
          </w:p>
        </w:tc>
        <w:tc>
          <w:tcPr>
            <w:tcW w:type="dxa" w:w="1152"/>
            <w:shd w:fill="F8FAFC"/>
            <w:tcMar>
              <w:top w:w="80" w:type="dxa"/>
              <w:bottom w:w="80" w:type="dxa"/>
              <w:left w:w="120" w:type="dxa"/>
              <w:right w:w="120" w:type="dxa"/>
            </w:tcMar>
          </w:tcPr>
          <w:p>
            <w:pPr>
              <w:jc w:val="left"/>
            </w:pPr>
            <w:r>
              <w:rPr>
                <w:color w:val="0F172A"/>
                <w:sz w:val="18"/>
              </w:rPr>
              <w:t>POST</w:t>
            </w:r>
          </w:p>
        </w:tc>
        <w:tc>
          <w:tcPr>
            <w:tcW w:type="dxa" w:w="2016"/>
            <w:shd w:fill="F8FAFC"/>
            <w:tcMar>
              <w:top w:w="80" w:type="dxa"/>
              <w:bottom w:w="80" w:type="dxa"/>
              <w:left w:w="120" w:type="dxa"/>
              <w:right w:w="120" w:type="dxa"/>
            </w:tcMar>
          </w:tcPr>
          <w:p>
            <w:pPr>
              <w:jc w:val="left"/>
            </w:pPr>
            <w:r>
              <w:rPr>
                <w:color w:val="0F172A"/>
                <w:sz w:val="18"/>
              </w:rPr>
              <w:t>file (audio/webm), language</w:t>
            </w:r>
          </w:p>
        </w:tc>
        <w:tc>
          <w:tcPr>
            <w:tcW w:type="dxa" w:w="4608"/>
            <w:shd w:fill="F8FAFC"/>
            <w:tcMar>
              <w:top w:w="80" w:type="dxa"/>
              <w:bottom w:w="80" w:type="dxa"/>
              <w:left w:w="120" w:type="dxa"/>
              <w:right w:w="120" w:type="dxa"/>
            </w:tcMar>
          </w:tcPr>
          <w:p>
            <w:pPr>
              <w:jc w:val="left"/>
            </w:pPr>
            <w:r>
              <w:rPr>
                <w:color w:val="0F172A"/>
                <w:sz w:val="18"/>
              </w:rPr>
              <w:t>Streams raw audio to Groq Whisper LPU. Returns transcribed text in ~320ms with confidence score and language code.</w:t>
            </w:r>
          </w:p>
        </w:tc>
      </w:tr>
      <w:tr>
        <w:tc>
          <w:tcPr>
            <w:tcW w:type="dxa" w:w="2160"/>
            <w:shd w:fill="FFFFFF"/>
            <w:tcMar>
              <w:top w:w="80" w:type="dxa"/>
              <w:bottom w:w="80" w:type="dxa"/>
              <w:left w:w="120" w:type="dxa"/>
              <w:right w:w="120" w:type="dxa"/>
            </w:tcMar>
          </w:tcPr>
          <w:p>
            <w:pPr>
              <w:jc w:val="left"/>
            </w:pPr>
            <w:r>
              <w:rPr>
                <w:color w:val="0F172A"/>
                <w:sz w:val="18"/>
              </w:rPr>
              <w:t>/api/advisory/translate</w:t>
            </w:r>
          </w:p>
        </w:tc>
        <w:tc>
          <w:tcPr>
            <w:tcW w:type="dxa" w:w="1152"/>
            <w:shd w:fill="FFFFFF"/>
            <w:tcMar>
              <w:top w:w="80" w:type="dxa"/>
              <w:bottom w:w="80" w:type="dxa"/>
              <w:left w:w="120" w:type="dxa"/>
              <w:right w:w="120" w:type="dxa"/>
            </w:tcMar>
          </w:tcPr>
          <w:p>
            <w:pPr>
              <w:jc w:val="left"/>
            </w:pPr>
            <w:r>
              <w:rPr>
                <w:color w:val="0F172A"/>
                <w:sz w:val="18"/>
              </w:rPr>
              <w:t>POST</w:t>
            </w:r>
          </w:p>
        </w:tc>
        <w:tc>
          <w:tcPr>
            <w:tcW w:type="dxa" w:w="2016"/>
            <w:shd w:fill="FFFFFF"/>
            <w:tcMar>
              <w:top w:w="80" w:type="dxa"/>
              <w:bottom w:w="80" w:type="dxa"/>
              <w:left w:w="120" w:type="dxa"/>
              <w:right w:w="120" w:type="dxa"/>
            </w:tcMar>
          </w:tcPr>
          <w:p>
            <w:pPr>
              <w:jc w:val="left"/>
            </w:pPr>
            <w:r>
              <w:rPr>
                <w:color w:val="0F172A"/>
                <w:sz w:val="18"/>
              </w:rPr>
              <w:t>text, target_lang ('ta')</w:t>
            </w:r>
          </w:p>
        </w:tc>
        <w:tc>
          <w:tcPr>
            <w:tcW w:type="dxa" w:w="4608"/>
            <w:shd w:fill="FFFFFF"/>
            <w:tcMar>
              <w:top w:w="80" w:type="dxa"/>
              <w:bottom w:w="80" w:type="dxa"/>
              <w:left w:w="120" w:type="dxa"/>
              <w:right w:w="120" w:type="dxa"/>
            </w:tcMar>
          </w:tcPr>
          <w:p>
            <w:pPr>
              <w:jc w:val="left"/>
            </w:pPr>
            <w:r>
              <w:rPr>
                <w:color w:val="0F172A"/>
                <w:sz w:val="18"/>
              </w:rPr>
              <w:t>Calls Gemini 3.1 Flash Lite to translate English advisory summary into natural, colloquial agricultural Tamil (தமிழ்).</w:t>
            </w:r>
          </w:p>
        </w:tc>
      </w:tr>
      <w:tr>
        <w:tc>
          <w:tcPr>
            <w:tcW w:type="dxa" w:w="2160"/>
            <w:shd w:fill="F8FAFC"/>
            <w:tcMar>
              <w:top w:w="80" w:type="dxa"/>
              <w:bottom w:w="80" w:type="dxa"/>
              <w:left w:w="120" w:type="dxa"/>
              <w:right w:w="120" w:type="dxa"/>
            </w:tcMar>
          </w:tcPr>
          <w:p>
            <w:pPr>
              <w:jc w:val="left"/>
            </w:pPr>
            <w:r>
              <w:rPr>
                <w:color w:val="0F172A"/>
                <w:sz w:val="18"/>
              </w:rPr>
              <w:t>/api/chat</w:t>
            </w:r>
          </w:p>
        </w:tc>
        <w:tc>
          <w:tcPr>
            <w:tcW w:type="dxa" w:w="1152"/>
            <w:shd w:fill="F8FAFC"/>
            <w:tcMar>
              <w:top w:w="80" w:type="dxa"/>
              <w:bottom w:w="80" w:type="dxa"/>
              <w:left w:w="120" w:type="dxa"/>
              <w:right w:w="120" w:type="dxa"/>
            </w:tcMar>
          </w:tcPr>
          <w:p>
            <w:pPr>
              <w:jc w:val="left"/>
            </w:pPr>
            <w:r>
              <w:rPr>
                <w:color w:val="0F172A"/>
                <w:sz w:val="18"/>
              </w:rPr>
              <w:t>POST</w:t>
            </w:r>
          </w:p>
        </w:tc>
        <w:tc>
          <w:tcPr>
            <w:tcW w:type="dxa" w:w="2016"/>
            <w:shd w:fill="F8FAFC"/>
            <w:tcMar>
              <w:top w:w="80" w:type="dxa"/>
              <w:bottom w:w="80" w:type="dxa"/>
              <w:left w:w="120" w:type="dxa"/>
              <w:right w:w="120" w:type="dxa"/>
            </w:tcMar>
          </w:tcPr>
          <w:p>
            <w:pPr>
              <w:jc w:val="left"/>
            </w:pPr>
            <w:r>
              <w:rPr>
                <w:color w:val="0F172A"/>
                <w:sz w:val="18"/>
              </w:rPr>
              <w:t>message, survey_number, image</w:t>
            </w:r>
          </w:p>
        </w:tc>
        <w:tc>
          <w:tcPr>
            <w:tcW w:type="dxa" w:w="4608"/>
            <w:shd w:fill="F8FAFC"/>
            <w:tcMar>
              <w:top w:w="80" w:type="dxa"/>
              <w:bottom w:w="80" w:type="dxa"/>
              <w:left w:w="120" w:type="dxa"/>
              <w:right w:w="120" w:type="dxa"/>
            </w:tcMar>
          </w:tcPr>
          <w:p>
            <w:pPr>
              <w:jc w:val="left"/>
            </w:pPr>
            <w:r>
              <w:rPr>
                <w:color w:val="0F172A"/>
                <w:sz w:val="18"/>
              </w:rPr>
              <w:t>Conversational agricultural agent with RAG grounding, live weather context, and multimodal photo diagnosis.</w:t>
            </w:r>
          </w:p>
        </w:tc>
      </w:tr>
    </w:tbl>
    <w:p>
      <w:pPr>
        <w:spacing w:after="120"/>
      </w:pPr>
    </w:p>
    <w:p>
      <w:pPr>
        <w:keepNext/>
        <w:spacing w:before="360" w:after="120"/>
      </w:pPr>
      <w:r>
        <w:rPr>
          <w:b/>
          <w:color w:val="065F46"/>
          <w:sz w:val="32"/>
        </w:rPr>
        <w:t>6. Technical Deep-Dive: Image &amp; Voice Recognition</w:t>
      </w:r>
    </w:p>
    <w:p>
      <w:pPr>
        <w:keepNext/>
        <w:spacing w:before="240" w:after="80"/>
      </w:pPr>
      <w:r>
        <w:rPr>
          <w:b/>
          <w:color w:val="0F172A"/>
          <w:sz w:val="26"/>
        </w:rPr>
        <w:t>6.1 Multimodal Computer Vision (Image Agent)</w:t>
      </w:r>
    </w:p>
    <w:p>
      <w:r>
        <w:t>How it works under the hood:</w:t>
        <w:br/>
        <w:t>1. Image Ingestion: The farmer uploads a field photo or the system retrieves the ground-truth photograph linked to the survey record.</w:t>
        <w:br/>
        <w:t>2. Pre-processing: Image is validated (JPEG/PNG/WEBP), inspected for orientation, and prepared as a binary stream for the model client.</w:t>
        <w:br/>
        <w:t>3. Agricultural Prompt Engineering: A specialized system prompt instructs Gemini 3.8 Flash Vision to act as an agronomist specializing in South Indian crops. The prompt forces strict structured JSON output containing: (a) crop_name, (b) growth_stage (vegetative, tillering, flowering, maturity), (c) crop_health status, (d) canopy observations (leaf color, chlorosis, tiller density), and (e) confidence score (0.0 to 1.0).</w:t>
        <w:br/>
        <w:t>4. Visual Grounding: The model does NOT hallucinate based on text prompts; it is explicitly instructed to scrutinize leaf venation, panicle formation, and weed competition present in the image pixels.</w:t>
        <w:br/>
        <w:t>5. Bedrock Titan Fallback: If external API limits are encountered, the system routes image embeddings to AWS Bedrock Titan Multimodal Embeddings to match reference verified crop cluster vectors.</w:t>
      </w:r>
    </w:p>
    <w:p>
      <w:pPr>
        <w:keepNext/>
        <w:spacing w:before="240" w:after="80"/>
      </w:pPr>
      <w:r>
        <w:rPr>
          <w:b/>
          <w:color w:val="0F172A"/>
          <w:sz w:val="26"/>
        </w:rPr>
        <w:t>6.2 Voice AI Engine (Tamil &amp; English)</w:t>
      </w:r>
    </w:p>
    <w:p>
      <w:r>
        <w:t>How voice is captured and transcribed:</w:t>
        <w:br/>
        <w:t>1. Browser MediaRecorder: Captures microphone audio using the Web Audio API as an Opus-encoded `audio/webm` blob.</w:t>
        <w:br/>
        <w:t>2. Direct Streaming to Groq LPU: The audio blob is sent directly to Groq's specialized Language Processing Unit (LPU) running `whisper-large-v3-turbo`.</w:t>
        <w:br/>
        <w:t>3. Sub-Second Latency: While standard cloud STT takes 2–4 seconds, Groq Whisper completes transcription in 280–380 milliseconds.</w:t>
        <w:br/>
        <w:t>4. Tamil Speech Normalization: An automated Tamil phoneme normalizer handles regional dialects (e.g., Tirunelveli vs Madurai accents) and translates spoken Tamil numerals into clean digits for instant cadastral lookup.</w:t>
        <w:br/>
        <w:t>5. Hybrid Dual-Engine Architecture: In browsers supporting native SpeechRecognition (Chrome on Android/Desktop), the Web Speech API runs client-side for instant transcription with zero server load; Groq Whisper acts as the robust fallback for iOS Safari and noisy audio environments.</w:t>
      </w:r>
    </w:p>
    <w:p>
      <w:pPr>
        <w:keepNext/>
        <w:spacing w:before="360" w:after="120"/>
      </w:pPr>
      <w:r>
        <w:rPr>
          <w:b/>
          <w:color w:val="065F46"/>
          <w:sz w:val="32"/>
        </w:rPr>
        <w:t>7. The 2-Minute Evaluator Pitch &amp; Demo Script</w:t>
      </w:r>
    </w:p>
    <w:p>
      <w:r>
        <w:t>Memorize and use this structured script when demonstrating the project to the hackathon judges:</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Pr>
          <w:p>
            <w:pPr>
              <w:spacing w:after="40"/>
            </w:pPr>
            <w:r>
              <w:rPr>
                <w:b/>
                <w:color w:val="065F46"/>
                <w:sz w:val="20"/>
              </w:rPr>
              <w:t>★ ELEVATOR PITCH</w:t>
              <w:br/>
            </w:r>
            <w:r>
              <w:rPr>
                <w:color w:val="166534"/>
                <w:sz w:val="20"/>
              </w:rPr>
              <w:t>THE 30-SECOND HOOK:</w:t>
              <w:br/>
              <w:t>"Good morning, judges. In India, over 80% of farmers are smallholders who face two critical bottlenecks: language barriers and generic, unverified advice. Existing agri-apps tell a farmer in Tenkasi the same thing as a farmer in Punjab. We built FarmWise AI: the first parcel-level, multimodal, multi-agent agricultural platform that speaks fluent Tamil and verifies every single recommendation before it ever reaches the farmer's eyes."</w:t>
            </w:r>
          </w:p>
        </w:tc>
      </w:tr>
    </w:tbl>
    <w:p>
      <w:pPr>
        <w:spacing w:after="120"/>
      </w:pP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Pr>
          <w:p>
            <w:pPr>
              <w:spacing w:after="40"/>
            </w:pPr>
            <w:r>
              <w:rPr>
                <w:b/>
                <w:color w:val="065F46"/>
                <w:sz w:val="20"/>
              </w:rPr>
              <w:t>★ STEP-BY-STEP DEMO SCRIPT</w:t>
              <w:br/>
            </w:r>
            <w:r>
              <w:rPr>
                <w:color w:val="166534"/>
                <w:sz w:val="20"/>
              </w:rPr>
              <w:t>THE 90-SECOND LIVE DEMO RUN-THROUGH:</w:t>
              <w:br/>
              <w:t>1. [Show Search &amp; Map]: 'Here, I enter Survey Number 1342. Instantly, our Geography Agent locates the exact parcel in Sivagiri, Tenkasi, and highlights its authentic Cadastral boundary polygon on the Leaflet map.'</w:t>
              <w:br/>
              <w:t>2. [Show Crop Phenotyping]: 'Next, our Image Agent inspects the field photo using Gemini 3.8 Flash Vision. It identifies that this plot is Paddy at the tillering stage with 95% confidence.'</w:t>
              <w:br/>
              <w:t>3. [Show Weather &amp; Spray Window]: 'Concurrently, our Weather Agent fetches micro-climate data from Open-Meteo. It detects high humidity and 12 km/h winds, giving a safe spray window for the afternoon.'</w:t>
              <w:br/>
              <w:t>4. [Show Verifier Critic]: 'Now, the most important innovation: our Verifier Critic Agent, powered by Claude 3.5 Sonnet. It cross-checks the image against the land record and the weather. Notice this 96% AI Verified badge. If a farmer had asked to spray pesticide during rain, the Verifier would intercept and block it.'</w:t>
              <w:br/>
              <w:t>5. [Show Tamil Voice &amp; Print]: 'A farmer can speak in Tamil using the mic button, see everything in colloquial Tamil, and print a structured government-compliant audit PDF.'</w:t>
            </w:r>
          </w:p>
        </w:tc>
      </w:tr>
    </w:tbl>
    <w:p>
      <w:pPr>
        <w:spacing w:after="120"/>
      </w:pPr>
    </w:p>
    <w:p>
      <w:pPr>
        <w:keepNext/>
        <w:spacing w:before="360" w:after="120"/>
      </w:pPr>
      <w:r>
        <w:rPr>
          <w:b/>
          <w:color w:val="065F46"/>
          <w:sz w:val="32"/>
        </w:rPr>
        <w:t>8. Evaluator Cross-Questioning Defense Guide (15 Tough Questions &amp; Model Answers)</w:t>
      </w:r>
    </w:p>
    <w:p>
      <w:pPr>
        <w:spacing w:before="160" w:after="40"/>
      </w:pPr>
      <w:r>
        <w:rPr>
          <w:b/>
          <w:color w:val="065F46"/>
          <w:sz w:val="21"/>
        </w:rPr>
        <w:t>Q1: Why did you use multiple AI models instead of just prompting Claude or GPT-4 for everything?</w:t>
      </w:r>
    </w:p>
    <w:p>
      <w:pPr>
        <w:spacing w:after="120"/>
      </w:pPr>
      <w:r>
        <w:rPr>
          <w:color w:val="0F172A"/>
          <w:sz w:val="20"/>
        </w:rPr>
        <w:t>Answer: Task 1 specifically evaluates multi-model architectural design and cost-efficiency. Using a single frontier model for every sub-task is financially impractical for rural farmers ($0.03/query). Instead, we employ intelligent routing: Groq Whisper handles voice in 320ms; Gemini 3.8 Flash handles high-resolution vision at 1/40th the cost of GPT-4o; and Claude 3.5 Sonnet acts strictly as the high-precision Verifier and Critic. This cuts pipeline latency by 60% and cost by 85% while maximizing domain accuracy.</w:t>
      </w:r>
    </w:p>
    <w:p>
      <w:pPr>
        <w:spacing w:before="160" w:after="40"/>
      </w:pPr>
      <w:r>
        <w:rPr>
          <w:b/>
          <w:color w:val="065F46"/>
          <w:sz w:val="21"/>
        </w:rPr>
        <w:t>Q2: How do you prevent hallucinations in fertilizer dosages or pesticide recommendations?</w:t>
      </w:r>
    </w:p>
    <w:p>
      <w:pPr>
        <w:spacing w:after="120"/>
      </w:pPr>
      <w:r>
        <w:rPr>
          <w:color w:val="0F172A"/>
          <w:sz w:val="20"/>
        </w:rPr>
        <w:t>Answer: We use a three-tier defense firewall: First, the Agri-Knowledge Agent grounds all dosages strictly in published TNAU and ICAR production packages via RAG. Second, the Verifier Critic agent independently audits the synthesized advisory against the detected crop growth stage. Third, rule-based safety guardrails enforce hard physiological limits (e.g., maximum urea per acre is capped at agronomic thresholds).</w:t>
      </w:r>
    </w:p>
    <w:p>
      <w:pPr>
        <w:spacing w:before="160" w:after="40"/>
      </w:pPr>
      <w:r>
        <w:rPr>
          <w:b/>
          <w:color w:val="065F46"/>
          <w:sz w:val="21"/>
        </w:rPr>
        <w:t>Q3: What happens if the farmer has poor or no internet connectivity in remote fields?</w:t>
      </w:r>
    </w:p>
    <w:p>
      <w:pPr>
        <w:spacing w:after="120"/>
      </w:pPr>
      <w:r>
        <w:rPr>
          <w:color w:val="0F172A"/>
          <w:sz w:val="20"/>
        </w:rPr>
        <w:t>Answer: Our frontend is a lightweight Single Page Application (dist &lt; 400KB) with aggressive local service-worker caching. The Web Speech API operates client-side on mobile devices without sending audio bytes over the network. For complete offline operation, our future roadmap integrates WebAssembly-based quantized edge models (MobileNet + Gemma-2B ONNX) directly inside the browser.</w:t>
      </w:r>
    </w:p>
    <w:p>
      <w:pPr>
        <w:spacing w:before="160" w:after="40"/>
      </w:pPr>
      <w:r>
        <w:rPr>
          <w:b/>
          <w:color w:val="065F46"/>
          <w:sz w:val="21"/>
        </w:rPr>
        <w:t>Q4: How do you verify that the uploaded photo is actually from the claimed survey parcel?</w:t>
      </w:r>
    </w:p>
    <w:p>
      <w:pPr>
        <w:spacing w:after="120"/>
      </w:pPr>
      <w:r>
        <w:rPr>
          <w:color w:val="0F172A"/>
          <w:sz w:val="20"/>
        </w:rPr>
        <w:t>Answer: The system extracts EXIF GPS metadata embedded in the uploaded photograph and computes the haversine distance to the cadastral polygon centroid retrieved by the Geography Agent. If the distance exceeds 500 meters, the Verifier Agent flags a spatial mismatch warning on the dashboard.</w:t>
      </w:r>
    </w:p>
    <w:p>
      <w:pPr>
        <w:spacing w:before="160" w:after="40"/>
      </w:pPr>
      <w:r>
        <w:rPr>
          <w:b/>
          <w:color w:val="065F46"/>
          <w:sz w:val="21"/>
        </w:rPr>
        <w:t>Q5: What is the total cost per query, and will it fit within our $100 AWS budget?</w:t>
      </w:r>
    </w:p>
    <w:p>
      <w:pPr>
        <w:spacing w:after="120"/>
      </w:pPr>
      <w:r>
        <w:rPr>
          <w:color w:val="0F172A"/>
          <w:sz w:val="20"/>
        </w:rPr>
        <w:t>Answer: The average query costs $0.0038 (~0.31 INR). Open-Meteo weather and Leaflet OpenStreetMap tiles are completely free. Vision token costs on Gemini Flash are $0.0004 per image. Claude verification costs $0.0028. Over 26,000 complete multi-agent runs can be executed within our $100 budget.</w:t>
      </w:r>
    </w:p>
    <w:p>
      <w:pPr>
        <w:spacing w:before="160" w:after="40"/>
      </w:pPr>
      <w:r>
        <w:rPr>
          <w:b/>
          <w:color w:val="065F46"/>
          <w:sz w:val="21"/>
        </w:rPr>
        <w:t>Q6: How do you ensure the Tamil translation is understandable to rural farmers, not formal textbook Tamil?</w:t>
      </w:r>
    </w:p>
    <w:p>
      <w:pPr>
        <w:spacing w:after="120"/>
      </w:pPr>
      <w:r>
        <w:rPr>
          <w:color w:val="0F172A"/>
          <w:sz w:val="20"/>
        </w:rPr>
        <w:t>Answer: We employ a dual-layer approach. Static UI labels use our curated agricultural Tamil dictionary with colloquial terms (e.g. 'தூர்கட்டும் பருவம்' for tillering). Dynamic advisories use Gemini with few-shot agricultural prompt templates instructing it to generate conversational, respectful, farmer-friendly spoken Tamil.</w:t>
      </w:r>
    </w:p>
    <w:p>
      <w:pPr>
        <w:spacing w:before="160" w:after="40"/>
      </w:pPr>
      <w:r>
        <w:rPr>
          <w:b/>
          <w:color w:val="065F46"/>
          <w:sz w:val="21"/>
        </w:rPr>
        <w:t>Q7: How did you handle the event account AWS constraints (ap-south-1 Mumbai only, no IAM role creation)?</w:t>
      </w:r>
    </w:p>
    <w:p>
      <w:pPr>
        <w:spacing w:after="120"/>
      </w:pPr>
      <w:r>
        <w:rPr>
          <w:color w:val="0F172A"/>
          <w:sz w:val="20"/>
        </w:rPr>
        <w:t>Answer: We strictly respected all constraints: Region is locked to ap-south-1 (Mumbai); only allowed services (S3, Lambda, Bedrock) are utilized; and we used the pre-existing FAI-TCE-LambdaExecutionRole without attempting unauthorized IAM mutations.</w:t>
      </w:r>
    </w:p>
    <w:p>
      <w:pPr>
        <w:spacing w:before="160" w:after="40"/>
      </w:pPr>
      <w:r>
        <w:rPr>
          <w:b/>
          <w:color w:val="065F46"/>
          <w:sz w:val="21"/>
        </w:rPr>
        <w:t>Q8: Why did you choose Leaflet instead of Google Maps Platform?</w:t>
      </w:r>
    </w:p>
    <w:p>
      <w:pPr>
        <w:spacing w:after="120"/>
      </w:pPr>
      <w:r>
        <w:rPr>
          <w:color w:val="0F172A"/>
          <w:sz w:val="20"/>
        </w:rPr>
        <w:t>Answer: Google Maps requires commercial billing keys, enforces restrictive quotas, and loads heavy external JavaScript bundles. Leaflet is open-source, 38KB in size, renders smooth 60fps vector GeoJSON polygons on low-end smartphones, and uses public OpenStreetMap tiles with zero API cost.</w:t>
      </w:r>
    </w:p>
    <w:p>
      <w:pPr>
        <w:spacing w:before="160" w:after="40"/>
      </w:pPr>
      <w:r>
        <w:rPr>
          <w:b/>
          <w:color w:val="065F46"/>
          <w:sz w:val="21"/>
        </w:rPr>
        <w:t>Q9: What is the purpose of the Decision Trace Modal?</w:t>
      </w:r>
    </w:p>
    <w:p>
      <w:pPr>
        <w:spacing w:after="120"/>
      </w:pPr>
      <w:r>
        <w:rPr>
          <w:color w:val="0F172A"/>
          <w:sz w:val="20"/>
        </w:rPr>
        <w:t>Answer: In agriculture, 'black-box AI' is dangerous. If a farmer's crop suffers due to wrong advice, accountability is critical. The Decision Trace Modal exposes the chronological execution log of every agent: the exact cadastral records retrieved, the vision confidence score, the weather metrics evaluated, and the Verifier's critique. It transforms AI from a black box into an auditable expert audit trail.</w:t>
      </w:r>
    </w:p>
    <w:p>
      <w:pPr>
        <w:spacing w:before="160" w:after="40"/>
      </w:pPr>
      <w:r>
        <w:rPr>
          <w:b/>
          <w:color w:val="065F46"/>
          <w:sz w:val="21"/>
        </w:rPr>
        <w:t>Q10: How scalable is this architecture across all 38 districts of Tamil Nadu?</w:t>
      </w:r>
    </w:p>
    <w:p>
      <w:pPr>
        <w:spacing w:after="120"/>
      </w:pPr>
      <w:r>
        <w:rPr>
          <w:color w:val="0F172A"/>
          <w:sz w:val="20"/>
        </w:rPr>
        <w:t>Answer: The backend uses stateless FastAPI async handlers containerized in Docker. The cadastral indexing is partitioned by district and taluk. The pipeline scales horizontally across AWS Lambda / ECS containers with zero state bottlenecks.</w:t>
      </w:r>
    </w:p>
    <w:p>
      <w:pPr>
        <w:spacing w:before="160" w:after="40"/>
      </w:pPr>
      <w:r>
        <w:rPr>
          <w:b/>
          <w:color w:val="065F46"/>
          <w:sz w:val="21"/>
        </w:rPr>
        <w:t>Q11: How do you handle conflicts if the Patta record says 'Paddy' but the photo shows 'Cotton'?</w:t>
      </w:r>
    </w:p>
    <w:p>
      <w:pPr>
        <w:spacing w:after="120"/>
      </w:pPr>
      <w:r>
        <w:rPr>
          <w:color w:val="0F172A"/>
          <w:sz w:val="20"/>
        </w:rPr>
        <w:t>Answer: Crop rotation and seasonal fallow are common in Tamil Nadu. The Verifier Agent detects the discrepancy, alerts the farmer that the current crop differs from the revenue record, updates the advisory to address the visible crop (Cotton), and records the anomaly in the trace for agricultural officer review.</w:t>
      </w:r>
    </w:p>
    <w:p>
      <w:pPr>
        <w:spacing w:before="160" w:after="40"/>
      </w:pPr>
      <w:r>
        <w:rPr>
          <w:b/>
          <w:color w:val="065F46"/>
          <w:sz w:val="21"/>
        </w:rPr>
        <w:t>Q12: Can the government or banks use this report?</w:t>
      </w:r>
    </w:p>
    <w:p>
      <w:pPr>
        <w:spacing w:after="120"/>
      </w:pPr>
      <w:r>
        <w:rPr>
          <w:color w:val="0F172A"/>
          <w:sz w:val="20"/>
        </w:rPr>
        <w:t>Answer: Yes. Our Printable Audit Report generates a standardized format featuring the Survey Number, Cadastral Centroid, AI Verification Score, Phenotype Observations, and a cryptographic verification QR code suitable for PM-FASAL BIMA Yojna crop insurance verification.</w:t>
      </w:r>
    </w:p>
    <w:p>
      <w:pPr>
        <w:spacing w:before="160" w:after="40"/>
      </w:pPr>
      <w:r>
        <w:rPr>
          <w:b/>
          <w:color w:val="065F46"/>
          <w:sz w:val="21"/>
        </w:rPr>
        <w:t>Q13: Why use LangGraph instead of a simple linear chain?</w:t>
      </w:r>
    </w:p>
    <w:p>
      <w:pPr>
        <w:spacing w:after="120"/>
      </w:pPr>
      <w:r>
        <w:rPr>
          <w:color w:val="0F172A"/>
          <w:sz w:val="20"/>
        </w:rPr>
        <w:t>Answer: Linear chains cannot handle feedback loops or conditional fallbacks. If Gemini Vision confidence drops below 60%, LangGraph conditionally branches to an escalation critic or prompts the farmer for a clearer photo. LangGraph's cyclic state graph provides robust error handling.</w:t>
      </w:r>
    </w:p>
    <w:p>
      <w:pPr>
        <w:spacing w:before="160" w:after="40"/>
      </w:pPr>
      <w:r>
        <w:rPr>
          <w:b/>
          <w:color w:val="065F46"/>
          <w:sz w:val="21"/>
        </w:rPr>
        <w:t>Q14: How is data security and farmer privacy maintained?</w:t>
      </w:r>
    </w:p>
    <w:p>
      <w:pPr>
        <w:spacing w:after="120"/>
      </w:pPr>
      <w:r>
        <w:rPr>
          <w:color w:val="0F172A"/>
          <w:sz w:val="20"/>
        </w:rPr>
        <w:t>Answer: All uploaded photographs are stored in private S3 buckets with signed access. Landholder personal details are masked (e.g. 'R. K****') by default. No farmer data is used to train public models.</w:t>
      </w:r>
    </w:p>
    <w:p>
      <w:pPr>
        <w:spacing w:before="160" w:after="40"/>
      </w:pPr>
      <w:r>
        <w:rPr>
          <w:b/>
          <w:color w:val="065F46"/>
          <w:sz w:val="21"/>
        </w:rPr>
        <w:t>Q15: How does your solution directly address the Hackathon Task 1 scoring rubric?</w:t>
      </w:r>
    </w:p>
    <w:p>
      <w:pPr>
        <w:spacing w:after="120"/>
      </w:pPr>
      <w:r>
        <w:rPr>
          <w:color w:val="0F172A"/>
          <w:sz w:val="20"/>
        </w:rPr>
        <w:t>Answer: Task 1 judges 7 distinct dimensions: Planning, Multimodal Input, Multi-Agent Orchestration, Proprietary vs Open-Weight Routing, Tool Calling, Shared State, and Verification. Our architecture explicitly implements every single one as first-class citizens in our code.</w:t>
      </w:r>
    </w:p>
    <w:p>
      <w:pPr>
        <w:keepNext/>
        <w:spacing w:before="360" w:after="120"/>
      </w:pPr>
      <w:r>
        <w:rPr>
          <w:b/>
          <w:color w:val="065F46"/>
          <w:sz w:val="32"/>
        </w:rPr>
        <w:t>9. Future Improvements &amp; Production Roadmap</w:t>
      </w:r>
    </w:p>
    <w:p>
      <w:r>
        <w:t>To demonstrate mature engineering vision to the evaluators, present these concrete next-generation enhancements:</w:t>
      </w:r>
    </w:p>
    <w:p>
      <w:r>
        <w:rPr>
          <w:b/>
          <w:color w:val="0F172A"/>
        </w:rPr>
        <w:t xml:space="preserve">• 1. Multi-Spectral Satellite Imagery (Sentinel-2 &amp; Landsat-9): </w:t>
      </w:r>
      <w:r>
        <w:t>Integrate automated satellite ingestion to compute NDVI (Normalized Difference Vegetation Index) and NDRE (Red Edge) time-series across entire survey parcels to track vegetative vigor over time without requiring daily field visits.</w:t>
      </w:r>
    </w:p>
    <w:p>
      <w:r>
        <w:rPr>
          <w:b/>
          <w:color w:val="0F172A"/>
        </w:rPr>
        <w:t xml:space="preserve">• 2. WhatsApp &amp; Telegram Voice Note Bot: </w:t>
      </w:r>
      <w:r>
        <w:t>80% of rural farmers already use WhatsApp. Integrate an automated WhatsApp Business webhook where a farmer sends a voice note and field photo, and receives a spoken audio advisory in Tamil within 5 seconds.</w:t>
      </w:r>
    </w:p>
    <w:p>
      <w:r>
        <w:rPr>
          <w:b/>
          <w:color w:val="0F172A"/>
        </w:rPr>
        <w:t xml:space="preserve">• 3. On-Device Edge Quantization (Offline PWA): </w:t>
      </w:r>
      <w:r>
        <w:t>Deploy lightweight quantized models (e.g. MobileNetV4 crop classifier + Gemma-2B ONNX) running directly in the browser via WebAssembly and WebGPU for zero-internet field diagnosis.</w:t>
      </w:r>
    </w:p>
    <w:p>
      <w:r>
        <w:rPr>
          <w:b/>
          <w:color w:val="0F172A"/>
        </w:rPr>
        <w:t xml:space="preserve">• 4. IoT Micro-Weather &amp; LoRaWAN Soil Moisture Integration: </w:t>
      </w:r>
      <w:r>
        <w:t>Connect cheap capacitive soil moisture sensors and solar-powered field weather stations to provide hyper-local, real-time irrigation scheduling.</w:t>
      </w:r>
    </w:p>
    <w:p>
      <w:r>
        <w:rPr>
          <w:b/>
          <w:color w:val="0F172A"/>
        </w:rPr>
        <w:t xml:space="preserve">• 5. Smart Mandi Price Prediction &amp; Harvest Timing: </w:t>
      </w:r>
      <w:r>
        <w:t>Train an LSTM / Prophet time-series forecasting model on 5-year Tamil Nadu APMC price data to advise farmers on the optimal week to harvest and sell for maximum profit margin.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