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Movie Theater</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Movie Theater Uses</w:t>
            </w: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required</w:t>
            </w:r>
            <w:r>
              <w:rPr>
                <w:sz w:val="22"/>
              </w:rPr>
              <w:t xml:space="preserve"> for basic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0">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included in any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Weekly Operating Hours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single"/>
              <w:right w:val="nil"/>
            </w:tcBorders>
            <w:vAlign w:val="top"/>
          </w:tcPr>
          <w:p>
            <w:pPr>
              <w:spacing w:after="120" w:before="240" w:lineRule="auto" w:line="240"/>
            </w:pPr>
            <w:r>
              <w:rPr>
                <w:sz w:val="22"/>
              </w:rPr>
            </w:r>
            <w:hyperlink r:id="rId23">
              <w:r>
                <w:rPr>
                  <w:color w:val=""/>
                  <w:b w:val="true"/>
                  <w:sz w:val="22"/>
                  <w:u w:val="single"/>
                </w:rPr>
                <w:t>Number of Computers</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Movie Theater</w:t>
      </w:r>
    </w:p>
    <w:p>
      <w:r>
        <w:rPr>
          <w:sz w:val="22"/>
        </w:rPr>
        <w:t>Movie theater refers to buildings used for public or private film screenings.</w:t>
      </w:r>
    </w:p>
    <w:p>
      <w:r>
        <w:rPr>
          <w:sz w:val="22"/>
        </w:rPr>
        <w:t>Gross Floor Area should include all space within the building(s), including but not limited to seating areas, lobbies, concession stands, restrooms, administrative/office space, mechanical rooms, storage areas, elevator shafts, and stairwells.</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24">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25">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MovieTheater" TargetMode="External" Type="http://schemas.openxmlformats.org/officeDocument/2006/relationships/hyperlink"/><Relationship Id="rId2" Target="numbering.xml" Type="http://schemas.openxmlformats.org/officeDocument/2006/relationships/numbering"/><Relationship Id="rId20" Target="https://portfoliomanager.energystar.gov/pm/glossary#GrossFloorArea" TargetMode="External" Type="http://schemas.openxmlformats.org/officeDocument/2006/relationships/hyperlink"/><Relationship Id="rId21" Target="https://portfoliomanager.energystar.gov/pm/glossary#WeeklyOperatingHours" TargetMode="External" Type="http://schemas.openxmlformats.org/officeDocument/2006/relationships/hyperlink"/><Relationship Id="rId22" Target="https://portfoliomanager.energystar.gov/pm/glossary#NumberOfWorkersOnMainShift" TargetMode="External" Type="http://schemas.openxmlformats.org/officeDocument/2006/relationships/hyperlink"/><Relationship Id="rId23" Target="https://portfoliomanager.energystar.gov/pm/glossary#NumberOfComputers" TargetMode="External" Type="http://schemas.openxmlformats.org/officeDocument/2006/relationships/hyperlink"/><Relationship Id="rId24" Target="https://portfoliomanager.energystar.gov/pm/glossary#MeterFirstLastBillDate" TargetMode="External" Type="http://schemas.openxmlformats.org/officeDocument/2006/relationships/hyperlink"/><Relationship Id="rId25" Target="https://portfoliomanager.energystar.gov/pm/glossary#MeterFirstLastBillDate" TargetMode="External" Type="http://schemas.openxmlformats.org/officeDocument/2006/relationships/hyperlink"/><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