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Supermarket/Grocery Store</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Supermarket/Grocery Store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Number of Open or Closed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Number of Walk-in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Number of Cash Registers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Length of All Open or Closed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Area of All Walk-in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2">
              <w:r>
                <w:rPr>
                  <w:color w:val=""/>
                  <w:b w:val="true"/>
                  <w:sz w:val="22"/>
                  <w:u w:val="single"/>
                </w:rPr>
                <w:t>Cooking Facilities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Supermarket/Grocery Store</w:t>
      </w:r>
    </w:p>
    <w:p>
      <w:r>
        <w:rPr>
          <w:sz w:val="22"/>
        </w:rPr>
        <w:t>Supermarket/Grocery Store refers to buildings used for the retail sale of primarily food and beverage products, and which may include small amounts of preparation and sale of ready-to-eat food. Buildings where the primary business is the onsite preparation and sale of ready-to-eat food should use one of the Restaurant property types.</w:t>
      </w:r>
    </w:p>
    <w:p>
      <w:r>
        <w:rPr>
          <w:sz w:val="22"/>
        </w:rPr>
        <w:t>Gross Floor Area should include all space within the building(s), including the sales floor, offices, storage areas, kitchens, staff break rooms, and stairwells.</w:t>
      </w:r>
    </w:p>
    <w:p>
      <w:r>
        <w:rPr>
          <w:sz w:val="26"/>
          <w:b w:val="on"/>
        </w:rPr>
        <w:br/>
        <w:t>Helpful Hints for Supermarket/Grocery Store</w:t>
      </w:r>
    </w:p>
    <w:p>
      <w:pPr>
        <w:pStyle w:val="ListParagraph"/>
        <w:numPr>
          <w:numId w:val="16"/>
        </w:numPr>
      </w:pPr>
      <w:r>
        <w:rPr>
          <w:sz w:val="22"/>
        </w:rPr>
        <w:t>Properties that are primarily grocery/supermarket, but also include some non-food retail (e.g. a grocery store that has aisles stocked with clothing, books and/or novelty items) should not break out these retail spaces a separate use type.</w:t>
      </w:r>
    </w:p>
    <w:p>
      <w:pPr>
        <w:pStyle w:val="ListParagraph"/>
        <w:numPr>
          <w:numId w:val="16"/>
        </w:numPr>
      </w:pPr>
      <w:r>
        <w:rPr>
          <w:sz w:val="22"/>
        </w:rPr>
        <w:t xml:space="preserve">Carefully refer to the </w:t>
      </w:r>
      <w:r>
        <w:rPr>
          <w:sz w:val="22"/>
        </w:rPr>
      </w:r>
      <w:hyperlink r:id="rId33">
        <w:r>
          <w:rPr>
            <w:color w:val=""/>
            <w:b w:val="true"/>
            <w:sz w:val="22"/>
            <w:u w:val="single"/>
          </w:rPr>
          <w:t>Portfolio Manager Glossary</w:t>
        </w:r>
      </w:hyperlink>
      <w:r>
        <w:rPr>
          <w:sz w:val="22"/>
        </w:rPr>
        <w:t xml:space="preserve"> for definitions for each type of equipment counted (for example, handheld point-of-sale devices do not count as cash registers; tablets do not count as computers or cash registers; etc.).</w:t>
      </w:r>
    </w:p>
    <w:p>
      <w:pPr>
        <w:pStyle w:val="ListParagraph"/>
        <w:numPr>
          <w:numId w:val="16"/>
        </w:numPr>
      </w:pPr>
      <w:r>
        <w:rPr>
          <w:sz w:val="22"/>
        </w:rPr>
        <w:t>Do not break out office space, break rooms, or other spaces typically found in retail stores. They should be included in the retail space square footage.</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4">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5">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SupermarketGroceryStore"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WeeklyOperatingHours" TargetMode="External" Type="http://schemas.openxmlformats.org/officeDocument/2006/relationships/hyperlink"/><Relationship Id="rId23" Target="https://portfoliomanager.energystar.gov/pm/glossary#NumberOfWorkersOnMainShift" TargetMode="External" Type="http://schemas.openxmlformats.org/officeDocument/2006/relationships/hyperlink"/><Relationship Id="rId24" Target="https://portfoliomanager.energystar.gov/pm/glossary#NumberOfOpenOrClosedRefrigerationFreezerUnits" TargetMode="External" Type="http://schemas.openxmlformats.org/officeDocument/2006/relationships/hyperlink"/><Relationship Id="rId25" Target="https://portfoliomanager.energystar.gov/pm/glossary#NumberOfWalkInRefrigerationFreezerUnits" TargetMode="External" Type="http://schemas.openxmlformats.org/officeDocument/2006/relationships/hyperlink"/><Relationship Id="rId26" Target="https://portfoliomanager.energystar.gov/pm/glossary#PercentThatCanBeHeated" TargetMode="External" Type="http://schemas.openxmlformats.org/officeDocument/2006/relationships/hyperlink"/><Relationship Id="rId27" Target="https://portfoliomanager.energystar.gov/pm/glossary#PercentThatCanBeCooled" TargetMode="External" Type="http://schemas.openxmlformats.org/officeDocument/2006/relationships/hyperlink"/><Relationship Id="rId28" Target="https://portfoliomanager.energystar.gov/pm/glossary#NumberOfCashRegisters" TargetMode="External" Type="http://schemas.openxmlformats.org/officeDocument/2006/relationships/hyperlink"/><Relationship Id="rId29" Target="https://portfoliomanager.energystar.gov/pm/glossary#NumberOfComputers" TargetMode="External" Type="http://schemas.openxmlformats.org/officeDocument/2006/relationships/hyperlink"/><Relationship Id="rId3" Target="styles.xml" Type="http://schemas.openxmlformats.org/officeDocument/2006/relationships/styles"/><Relationship Id="rId30" Target="https://portfoliomanager.energystar.gov/pm/glossary#LengthOfOpenOrClosedRefrigerationFreezerUnits" TargetMode="External" Type="http://schemas.openxmlformats.org/officeDocument/2006/relationships/hyperlink"/><Relationship Id="rId31" Target="https://portfoliomanager.energystar.gov/pm/glossary#AreaOfWalkInRefrigerationUnits" TargetMode="External" Type="http://schemas.openxmlformats.org/officeDocument/2006/relationships/hyperlink"/><Relationship Id="rId32" Target="https://portfoliomanager.energystar.gov/pm/glossary#CookingFacilities" TargetMode="External" Type="http://schemas.openxmlformats.org/officeDocument/2006/relationships/hyperlink"/><Relationship Id="rId33" Target="https://portfoliomanager.energystar.gov/pm/glossary" TargetMode="External" Type="http://schemas.openxmlformats.org/officeDocument/2006/relationships/hyperlink"/><Relationship Id="rId34" Target="https://portfoliomanager.energystar.gov/pm/glossary#MeterFirstLastBillDate" TargetMode="External" Type="http://schemas.openxmlformats.org/officeDocument/2006/relationships/hyperlink"/><Relationship Id="rId35"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