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Wholesale Club/Supercenter</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Wholesale Club/Supercenter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Number of Open or Closed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Number of Walk-in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6">
              <w:r>
                <w:rPr>
                  <w:color w:val=""/>
                  <w:b w:val="true"/>
                  <w:sz w:val="22"/>
                  <w:u w:val="single"/>
                </w:rPr>
                <w:t>Single Store</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7">
              <w:r>
                <w:rPr>
                  <w:color w:val=""/>
                  <w:b w:val="true"/>
                  <w:sz w:val="22"/>
                  <w:u w:val="single"/>
                </w:rPr>
                <w:t>Exterior Entrance to the Public</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8">
              <w:r>
                <w:rPr>
                  <w:color w:val=""/>
                  <w:b w:val="true"/>
                  <w:sz w:val="22"/>
                  <w:u w:val="single"/>
                </w:rPr>
                <w:t>Percent That Can Be Heated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9">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nil"/>
              <w:right w:val="nil"/>
            </w:tcBorders>
            <w:vAlign w:val="top"/>
          </w:tcPr>
          <w:p>
            <w:pPr>
              <w:spacing w:after="120" w:before="240" w:lineRule="auto" w:line="240"/>
            </w:pPr>
            <w:r>
              <w:rPr>
                <w:sz w:val="22"/>
              </w:rPr>
            </w:r>
            <w:hyperlink r:id="rId30">
              <w:r>
                <w:rPr>
                  <w:color w:val=""/>
                  <w:b w:val="true"/>
                  <w:sz w:val="22"/>
                  <w:u w:val="single"/>
                </w:rPr>
                <w:t>Length of All Open or Closed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1">
              <w:r>
                <w:rPr>
                  <w:color w:val=""/>
                  <w:b w:val="true"/>
                  <w:sz w:val="22"/>
                  <w:u w:val="single"/>
                </w:rPr>
                <w:t>Area of All Walk-in Refrigeration/Freezer Units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2">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33">
              <w:r>
                <w:rPr>
                  <w:color w:val=""/>
                  <w:b w:val="true"/>
                  <w:sz w:val="22"/>
                  <w:u w:val="single"/>
                </w:rPr>
                <w:t>Number of Cash Registers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34">
              <w:r>
                <w:rPr>
                  <w:color w:val=""/>
                  <w:b w:val="true"/>
                  <w:sz w:val="22"/>
                  <w:u w:val="single"/>
                </w:rPr>
                <w:t>Cooking Facilities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Wholesale Club/Supercenter</w:t>
      </w:r>
    </w:p>
    <w:p>
      <w:r>
        <w:rPr>
          <w:sz w:val="22"/>
        </w:rPr>
        <w:t>Wholesale Club/Supercenter refers to buildings used to conduct the retail sale of a wide variety of merchandise, typically in bulk quantities. Merchandise may include food, clothing, office supplies, furniture, electronics, books, sporting goods, toys, and hardware.</w:t>
      </w:r>
    </w:p>
    <w:p>
      <w:r>
        <w:rPr>
          <w:sz w:val="22"/>
        </w:rPr>
        <w:t>Gross Floor Area should include all space within the building(s), including the sales floor, offices, storage areas, kitchens, staff break rooms, elevators, and stairwells.</w:t>
      </w:r>
    </w:p>
    <w:p>
      <w:r>
        <w:rPr>
          <w:sz w:val="26"/>
          <w:b w:val="on"/>
        </w:rPr>
        <w:br/>
        <w:t>Helpful Hints for Wholesale Club/Supercenter</w:t>
      </w:r>
    </w:p>
    <w:p>
      <w:pPr>
        <w:pStyle w:val="ListParagraph"/>
        <w:numPr>
          <w:numId w:val="16"/>
        </w:numPr>
      </w:pPr>
      <w:r>
        <w:rPr>
          <w:sz w:val="22"/>
        </w:rPr>
        <w:t>Wholesale clubs and supercenters often contain grocery sections. Those grocery sections should not be broken out as a separate use type.</w:t>
      </w:r>
    </w:p>
    <w:p>
      <w:pPr>
        <w:pStyle w:val="ListParagraph"/>
        <w:numPr>
          <w:numId w:val="16"/>
        </w:numPr>
      </w:pPr>
      <w:r>
        <w:rPr>
          <w:sz w:val="22"/>
        </w:rPr>
        <w:t xml:space="preserve">Carefully refer to the </w:t>
      </w:r>
      <w:r>
        <w:rPr>
          <w:sz w:val="22"/>
        </w:rPr>
      </w:r>
      <w:hyperlink r:id="rId35">
        <w:r>
          <w:rPr>
            <w:color w:val=""/>
            <w:b w:val="true"/>
            <w:sz w:val="22"/>
            <w:u w:val="single"/>
          </w:rPr>
          <w:t>Portfolio Manager Glossary</w:t>
        </w:r>
      </w:hyperlink>
      <w:r>
        <w:rPr>
          <w:sz w:val="22"/>
        </w:rPr>
        <w:t xml:space="preserve"> for definitions for each type of equipment counted (for example, handheld point-of-sale devices do not count as cash registers; tablets do not count as computers; etc.).</w:t>
      </w:r>
    </w:p>
    <w:p>
      <w:pPr>
        <w:pStyle w:val="ListParagraph"/>
        <w:numPr>
          <w:numId w:val="16"/>
        </w:numPr>
      </w:pPr>
      <w:r>
        <w:rPr>
          <w:sz w:val="22"/>
        </w:rPr>
        <w:t>Do not break out office space, break rooms, or other spaces typically found in retail stores. They should be included in the retail space square footage.</w:t>
      </w:r>
    </w:p>
    <w:p>
      <w:pPr>
        <w:pStyle w:val="ListParagraph"/>
        <w:numPr>
          <w:numId w:val="16"/>
        </w:numPr>
      </w:pPr>
      <w:r>
        <w:rPr>
          <w:sz w:val="22"/>
        </w:rPr>
        <w:t>In order to receive an ENERGY STAR Score and be eligible for certification, stores must be single, stand-alone structures, in a strip center, or an anchor store in an enclosed mall. Stores on the ground floor of an office building are not eligible.</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36">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7">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WholesaleClubSupercenter"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WeeklyOperatingHours" TargetMode="External" Type="http://schemas.openxmlformats.org/officeDocument/2006/relationships/hyperlink"/><Relationship Id="rId23" Target="https://portfoliomanager.energystar.gov/pm/glossary#NumberOfWorkersOnMainShift" TargetMode="External" Type="http://schemas.openxmlformats.org/officeDocument/2006/relationships/hyperlink"/><Relationship Id="rId24" Target="https://portfoliomanager.energystar.gov/pm/glossary#NumberOfOpenOrClosedRefrigerationFreezerUnits" TargetMode="External" Type="http://schemas.openxmlformats.org/officeDocument/2006/relationships/hyperlink"/><Relationship Id="rId25" Target="https://portfoliomanager.energystar.gov/pm/glossary#NumberOfWalkInRefrigerationFreezerUnits" TargetMode="External" Type="http://schemas.openxmlformats.org/officeDocument/2006/relationships/hyperlink"/><Relationship Id="rId26" Target="https://portfoliomanager.energystar.gov/pm/glossary#SingleStore" TargetMode="External" Type="http://schemas.openxmlformats.org/officeDocument/2006/relationships/hyperlink"/><Relationship Id="rId27" Target="https://portfoliomanager.energystar.gov/pm/glossary#ExteriorEntranceToThePublic" TargetMode="External" Type="http://schemas.openxmlformats.org/officeDocument/2006/relationships/hyperlink"/><Relationship Id="rId28" Target="https://portfoliomanager.energystar.gov/pm/glossary#PercentThatCanBeHeated" TargetMode="External" Type="http://schemas.openxmlformats.org/officeDocument/2006/relationships/hyperlink"/><Relationship Id="rId29" Target="https://portfoliomanager.energystar.gov/pm/glossary#PercentThatCanBeCooled" TargetMode="External" Type="http://schemas.openxmlformats.org/officeDocument/2006/relationships/hyperlink"/><Relationship Id="rId3" Target="styles.xml" Type="http://schemas.openxmlformats.org/officeDocument/2006/relationships/styles"/><Relationship Id="rId30" Target="https://portfoliomanager.energystar.gov/pm/glossary#LengthOfOpenOrClosedRefrigerationFreezerUnits" TargetMode="External" Type="http://schemas.openxmlformats.org/officeDocument/2006/relationships/hyperlink"/><Relationship Id="rId31" Target="https://portfoliomanager.energystar.gov/pm/glossary#AreaOfWalkInRefrigerationUnits" TargetMode="External" Type="http://schemas.openxmlformats.org/officeDocument/2006/relationships/hyperlink"/><Relationship Id="rId32" Target="https://portfoliomanager.energystar.gov/pm/glossary#NumberOfComputers" TargetMode="External" Type="http://schemas.openxmlformats.org/officeDocument/2006/relationships/hyperlink"/><Relationship Id="rId33" Target="https://portfoliomanager.energystar.gov/pm/glossary#NumberOfCashRegisters" TargetMode="External" Type="http://schemas.openxmlformats.org/officeDocument/2006/relationships/hyperlink"/><Relationship Id="rId34" Target="https://portfoliomanager.energystar.gov/pm/glossary#CookingFacilities" TargetMode="External" Type="http://schemas.openxmlformats.org/officeDocument/2006/relationships/hyperlink"/><Relationship Id="rId35" Target="https://portfoliomanager.energystar.gov/pm/glossary" TargetMode="External" Type="http://schemas.openxmlformats.org/officeDocument/2006/relationships/hyperlink"/><Relationship Id="rId36" Target="https://portfoliomanager.energystar.gov/pm/glossary#MeterFirstLastBillDate" TargetMode="External" Type="http://schemas.openxmlformats.org/officeDocument/2006/relationships/hyperlink"/><Relationship Id="rId37"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