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Multifamily Housing</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Multifamily Housing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Total Number of Residential Living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Residential Living Units in a Low-rise Building (1-4 stories)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Residential Living Units in a Mid-rise Building (5-9 stories)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Number of Residential Living Units in a High-rise Building (10 or more stories)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Number of Bedrooms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Common Entrance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Resident Population Type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Government Subsidized Housing</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Number of Laundry Hookups in All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Number of Laundry Hookups in Common Area(s)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3">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Multifamily Housing</w:t>
      </w:r>
    </w:p>
    <w:p>
      <w:r>
        <w:rPr>
          <w:sz w:val="22"/>
        </w:rPr>
        <w:t xml:space="preserve">Multifamily Housing refers to residential properties that contain two or more residential living units. These properties may include low-rise buildings (1-4 stories), mid-rise buildings (5-9 stories), or high-rise buildings (10+ stories). Multifamily housing may consist of a single building or multiple co-located buildings that act as a single property or </w:t>
      </w:r>
      <w:r>
        <w:rPr>
          <w:sz w:val="22"/>
        </w:rPr>
      </w:r>
      <w:hyperlink r:id="rId34">
        <w:r>
          <w:rPr>
            <w:color w:val=""/>
            <w:b w:val="true"/>
            <w:sz w:val="22"/>
            <w:u w:val="single"/>
          </w:rPr>
          <w:t>campus</w:t>
        </w:r>
      </w:hyperlink>
      <w:r>
        <w:rPr>
          <w:sz w:val="22"/>
        </w:rPr>
        <w:t xml:space="preserve"> (such as a garden apartment community). Occupants of these buildings may include tenants, cooperators, and/or individual owners.</w:t>
      </w:r>
    </w:p>
    <w:p>
      <w:r>
        <w:rPr>
          <w:sz w:val="22"/>
        </w:rPr>
        <w:t>Gross Floor Area should include all space within the building(s), including but not limited to living units (occupied and unoccupied units), interior common areas (e.g. lobbies, offices, community rooms, restrooms, common kitchens, fitness rooms, indoor pools), hallways, stairwells, elevator shafts, connecting corridors between buildings, storage areas, and mechanical space such as a boiler room. GFA should include all buildings that are part of the multifamily property, including any separate management offices or other buildings that may not contain living units. Open air stairwells, breezeways, and other similar areas that are not fully-enclosed should not be included in the GFA.</w:t>
      </w:r>
    </w:p>
    <w:p>
      <w:r>
        <w:rPr>
          <w:sz w:val="22"/>
        </w:rPr>
        <w:t>To be eligible for an ENERGY STAR score and certification in the US:</w:t>
      </w:r>
    </w:p>
    <w:p>
      <w:pPr>
        <w:pStyle w:val="ListParagraph"/>
        <w:numPr>
          <w:numId w:val="16"/>
        </w:numPr>
      </w:pPr>
      <w:r>
        <w:rPr>
          <w:sz w:val="22"/>
        </w:rPr>
        <w:t>2 units or more per building</w:t>
      </w:r>
    </w:p>
    <w:p>
      <w:pPr>
        <w:pStyle w:val="ListParagraph"/>
        <w:numPr>
          <w:numId w:val="16"/>
        </w:numPr>
      </w:pPr>
      <w:r>
        <w:rPr>
          <w:sz w:val="22"/>
        </w:rPr>
        <w:t>20 units or more per property/campus</w:t>
      </w:r>
    </w:p>
    <w:p>
      <w:pPr>
        <w:pStyle w:val="ListParagraph"/>
        <w:numPr>
          <w:numId w:val="16"/>
        </w:numPr>
      </w:pPr>
      <w:r>
        <w:rPr>
          <w:sz w:val="22"/>
        </w:rPr>
        <w:t>Each unit must have a bathroom and a full kitchen, including refrigerator and oven/stove.</w:t>
      </w:r>
    </w:p>
    <w:p>
      <w:pPr>
        <w:pStyle w:val="ListParagraph"/>
        <w:numPr>
          <w:numId w:val="16"/>
        </w:numPr>
      </w:pPr>
      <w:r>
        <w:rPr>
          <w:sz w:val="22"/>
        </w:rPr>
        <w:t>At least 80% occupancy</w:t>
      </w:r>
    </w:p>
    <w:p>
      <w:pPr>
        <w:pStyle w:val="ListParagraph"/>
        <w:numPr>
          <w:numId w:val="16"/>
        </w:numPr>
      </w:pPr>
      <w:r>
        <w:rPr>
          <w:sz w:val="22"/>
        </w:rPr>
        <w:t>Communities of single-family homes are not eligible. If your property is a mix of multifamily and single-family homes, the property would still be eligible as long as the single-family homes are less than 25% of the total GFA. Combine the single-family home GFA with the Multifamily property use. To be eligible for an ENERGY STAR score and certification in Canada:</w:t>
      </w:r>
    </w:p>
    <w:p>
      <w:pPr>
        <w:pStyle w:val="ListParagraph"/>
        <w:numPr>
          <w:numId w:val="16"/>
        </w:numPr>
      </w:pPr>
      <w:r>
        <w:rPr>
          <w:sz w:val="22"/>
        </w:rPr>
        <w:t>2 units or more per building</w:t>
      </w:r>
    </w:p>
    <w:p>
      <w:pPr>
        <w:pStyle w:val="ListParagraph"/>
        <w:numPr>
          <w:numId w:val="16"/>
        </w:numPr>
      </w:pPr>
      <w:r>
        <w:rPr>
          <w:sz w:val="22"/>
        </w:rPr>
        <w:t>Each building in the property must be either:</w:t>
      </w:r>
    </w:p>
    <w:p>
      <w:pPr>
        <w:pStyle w:val="ListParagraph"/>
        <w:numPr>
          <w:numId w:val="16"/>
        </w:numPr>
      </w:pPr>
      <w:r>
        <w:rPr>
          <w:sz w:val="22"/>
        </w:rPr>
        <w:t>4 or more storeys above ground, or</w:t>
      </w:r>
    </w:p>
    <w:p>
      <w:pPr>
        <w:pStyle w:val="ListParagraph"/>
        <w:numPr>
          <w:numId w:val="16"/>
        </w:numPr>
      </w:pPr>
      <w:r>
        <w:rPr>
          <w:sz w:val="22"/>
        </w:rPr>
        <w:t>have a horizontal footprint greater than 600 m2 measured between exterior walls and firewalls</w:t>
      </w:r>
    </w:p>
    <w:p>
      <w:pPr>
        <w:pStyle w:val="ListParagraph"/>
        <w:numPr>
          <w:numId w:val="16"/>
        </w:numPr>
      </w:pPr>
      <w:r>
        <w:rPr>
          <w:sz w:val="22"/>
        </w:rPr>
        <w:t xml:space="preserve">A </w:t>
      </w:r>
      <w:r>
        <w:rPr>
          <w:sz w:val="22"/>
        </w:rPr>
      </w:r>
      <w:hyperlink r:id="rId35">
        <w:r>
          <w:rPr>
            <w:color w:val=""/>
            <w:b w:val="true"/>
            <w:sz w:val="22"/>
            <w:u w:val="single"/>
          </w:rPr>
          <w:t>common entrance</w:t>
        </w:r>
      </w:hyperlink>
      <w:r>
        <w:rPr>
          <w:sz w:val="22"/>
        </w:rPr>
        <w:t xml:space="preserve"> for each building in the property</w:t>
      </w:r>
    </w:p>
    <w:p>
      <w:pPr>
        <w:pStyle w:val="ListParagraph"/>
        <w:numPr>
          <w:numId w:val="16"/>
        </w:numPr>
      </w:pPr>
      <w:r>
        <w:rPr>
          <w:sz w:val="22"/>
        </w:rPr>
        <w:t>At least 80% occupancy</w:t>
      </w:r>
    </w:p>
    <w:p>
      <w:pPr>
        <w:pStyle w:val="ListParagraph"/>
        <w:numPr>
          <w:numId w:val="16"/>
        </w:numPr>
      </w:pPr>
      <w:r>
        <w:rPr>
          <w:sz w:val="22"/>
        </w:rPr>
        <w:t>If buildings on a property do not meet the above definitions, they must be excluded from certification.</w:t>
      </w:r>
    </w:p>
    <w:p>
      <w:r>
        <w:rPr>
          <w:sz w:val="26"/>
          <w:b w:val="on"/>
        </w:rPr>
        <w:br/>
        <w:t>Helpful Hints for Multifamily Housing</w:t>
      </w:r>
    </w:p>
    <w:p>
      <w:pPr>
        <w:pStyle w:val="ListParagraph"/>
        <w:numPr>
          <w:numId w:val="16"/>
        </w:numPr>
      </w:pPr>
      <w:r>
        <w:rPr>
          <w:sz w:val="22"/>
        </w:rPr>
        <w:t>The Property Use Details that are required to calculate the ENERGY STAR Score are noted with blue stars in Portfolio Manager.</w:t>
      </w:r>
    </w:p>
    <w:p>
      <w:pPr>
        <w:pStyle w:val="ListParagraph"/>
        <w:numPr>
          <w:numId w:val="16"/>
        </w:numPr>
      </w:pPr>
      <w:r>
        <w:rPr>
          <w:sz w:val="22"/>
        </w:rPr>
        <w:t>Spaces typically found in multifamily properties, such as gyms, community rooms, and small retail establishments (less than 5,000 sq ft) do not need to be broken out and should be included in the "multifamily housing" Gross Floor Area.</w:t>
      </w:r>
    </w:p>
    <w:p>
      <w:pPr>
        <w:pStyle w:val="ListParagraph"/>
        <w:numPr>
          <w:numId w:val="16"/>
        </w:numPr>
      </w:pPr>
      <w:r>
        <w:rPr>
          <w:sz w:val="22"/>
        </w:rPr>
        <w:t>Number of Bedrooms is total bedrooms within the apartment building, not number of bedrooms per unit, whether occupied or not.</w:t>
      </w:r>
    </w:p>
    <w:p>
      <w:pPr>
        <w:pStyle w:val="ListParagraph"/>
        <w:numPr>
          <w:numId w:val="16"/>
        </w:numPr>
      </w:pPr>
      <w:r>
        <w:rPr>
          <w:sz w:val="22"/>
        </w:rPr>
        <w:t>The ENERGY STAR Score for Multifamily requires whole property (common areas and resident units) energy use data for all fuels.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6">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7">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MultifamilyHousing"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NumberOfResidentialLivingUnits" TargetMode="External" Type="http://schemas.openxmlformats.org/officeDocument/2006/relationships/hyperlink"/><Relationship Id="rId23" Target="https://portfoliomanager.energystar.gov/pm/glossary#NumberOfResidentialLivingUnitsInLowRiseSetting" TargetMode="External" Type="http://schemas.openxmlformats.org/officeDocument/2006/relationships/hyperlink"/><Relationship Id="rId24" Target="https://portfoliomanager.energystar.gov/pm/glossary#NumberOfResidentialLivingUnitsInMidRiseSetting" TargetMode="External" Type="http://schemas.openxmlformats.org/officeDocument/2006/relationships/hyperlink"/><Relationship Id="rId25" Target="https://portfoliomanager.energystar.gov/pm/glossary#NumberOfResidentialLivingUnitsInHighRiseSetting" TargetMode="External" Type="http://schemas.openxmlformats.org/officeDocument/2006/relationships/hyperlink"/><Relationship Id="rId26" Target="https://portfoliomanager.energystar.gov/pm/glossary#NumberOfBedrooms" TargetMode="External" Type="http://schemas.openxmlformats.org/officeDocument/2006/relationships/hyperlink"/><Relationship Id="rId27" Target="https://portfoliomanager.energystar.gov/pm/glossary#CommonEntrance" TargetMode="External" Type="http://schemas.openxmlformats.org/officeDocument/2006/relationships/hyperlink"/><Relationship Id="rId28" Target="https://portfoliomanager.energystar.gov/pm/glossary#ResidentPopulationType" TargetMode="External" Type="http://schemas.openxmlformats.org/officeDocument/2006/relationships/hyperlink"/><Relationship Id="rId29" Target="https://portfoliomanager.energystar.gov/pm/glossary#GovernmentSubsidizedHousing" TargetMode="External" Type="http://schemas.openxmlformats.org/officeDocument/2006/relationships/hyperlink"/><Relationship Id="rId3" Target="styles.xml" Type="http://schemas.openxmlformats.org/officeDocument/2006/relationships/styles"/><Relationship Id="rId30" Target="https://portfoliomanager.energystar.gov/pm/glossary#NumberOfLaundryHookupsInAllUnits" TargetMode="External" Type="http://schemas.openxmlformats.org/officeDocument/2006/relationships/hyperlink"/><Relationship Id="rId31" Target="https://portfoliomanager.energystar.gov/pm/glossary#NumberOfLaundryHookupsInCommonAreas" TargetMode="External" Type="http://schemas.openxmlformats.org/officeDocument/2006/relationships/hyperlink"/><Relationship Id="rId32" Target="https://portfoliomanager.energystar.gov/pm/glossary#PercentThatCanBeHeated" TargetMode="External" Type="http://schemas.openxmlformats.org/officeDocument/2006/relationships/hyperlink"/><Relationship Id="rId33" Target="https://portfoliomanager.energystar.gov/pm/glossary#PercentThatCanBeCooled" TargetMode="External" Type="http://schemas.openxmlformats.org/officeDocument/2006/relationships/hyperlink"/><Relationship Id="rId34" Target="#Campus" TargetMode="External" Type="http://schemas.openxmlformats.org/officeDocument/2006/relationships/hyperlink"/><Relationship Id="rId35" Target="#CommonEntrance" TargetMode="External" Type="http://schemas.openxmlformats.org/officeDocument/2006/relationships/hyperlink"/><Relationship Id="rId36" Target="https://portfoliomanager.energystar.gov/pm/glossary#MeterFirstLastBillDate" TargetMode="External" Type="http://schemas.openxmlformats.org/officeDocument/2006/relationships/hyperlink"/><Relationship Id="rId37"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