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Residential Care Facility</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Residential Care Facility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Maximum Resident Capacity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Average Number of Residents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Total Number of Residential Living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Licensed Bed Capacity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Number of Residential Washing Machines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Number of Commercial Washing Machines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Number of Residential Electronic Lift Systems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Number of Commercial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2">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Residential Care Facility</w:t>
      </w:r>
    </w:p>
    <w:p>
      <w:r>
        <w:rPr>
          <w:sz w:val="22"/>
        </w:rPr>
        <w:t>Residential Care Facilities refers to buildings that provide rehabilitative and restorative care to patients on a long-term or permanent basis. Residential Care Facilities treat mental health issues, substance abuse, and rehabilitation for injury, illness, and disabilities. This property type is intended for facilities that offer long-term residential care to residents of all ages who may be in need of assistance with activities of daily living. If a facility is designed to provide nursing and assistance to seniors only, then the Senior Living Community property type should be used.</w:t>
      </w:r>
    </w:p>
    <w:p>
      <w:r>
        <w:rPr>
          <w:sz w:val="22"/>
        </w:rPr>
        <w:t>Gross Floor Area should include all fully-enclosed space within the exterior walls of the building(s) including individual rooms or units, wellness centers, exam rooms, community rooms, small shops or service areas for residents and visitors (e.g. hair salons, convenience stores), staff offices, lobbies, atriums, cafeterias, kitchens, storage areas, hallways, basements, stairways, corridors between buildings, and elevator shafts. Open air stairwells, breezeways, and other similar areas that are not fully-enclosed should not be included in the gross floor area.</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3">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4">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ResidentialCareFacility"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MaximumResidentCapacity" TargetMode="External" Type="http://schemas.openxmlformats.org/officeDocument/2006/relationships/hyperlink"/><Relationship Id="rId22" Target="https://portfoliomanager.energystar.gov/pm/glossary#AverageNumberOfResidents" TargetMode="External" Type="http://schemas.openxmlformats.org/officeDocument/2006/relationships/hyperlink"/><Relationship Id="rId23" Target="https://portfoliomanager.energystar.gov/pm/glossary#NumberOfResidentialLivingUnits" TargetMode="External" Type="http://schemas.openxmlformats.org/officeDocument/2006/relationships/hyperlink"/><Relationship Id="rId24" Target="https://portfoliomanager.energystar.gov/pm/glossary#LicensedBedCapacity" TargetMode="External" Type="http://schemas.openxmlformats.org/officeDocument/2006/relationships/hyperlink"/><Relationship Id="rId25" Target="https://portfoliomanager.energystar.gov/pm/glossary#NumberOfWorkersOnMainShift" TargetMode="External" Type="http://schemas.openxmlformats.org/officeDocument/2006/relationships/hyperlink"/><Relationship Id="rId26" Target="https://portfoliomanager.energystar.gov/pm/glossary#NumberOfComputers" TargetMode="External" Type="http://schemas.openxmlformats.org/officeDocument/2006/relationships/hyperlink"/><Relationship Id="rId27" Target="https://portfoliomanager.energystar.gov/pm/glossary#NumberOfResidentialWashingMachines" TargetMode="External" Type="http://schemas.openxmlformats.org/officeDocument/2006/relationships/hyperlink"/><Relationship Id="rId28" Target="https://portfoliomanager.energystar.gov/pm/glossary#NumberOfCommercialWashingMachines" TargetMode="External" Type="http://schemas.openxmlformats.org/officeDocument/2006/relationships/hyperlink"/><Relationship Id="rId29" Target="https://portfoliomanager.energystar.gov/pm/glossary#NumberOfResidentialElectronicLiftSystems" TargetMode="External" Type="http://schemas.openxmlformats.org/officeDocument/2006/relationships/hyperlink"/><Relationship Id="rId3" Target="styles.xml" Type="http://schemas.openxmlformats.org/officeDocument/2006/relationships/styles"/><Relationship Id="rId30" Target="https://portfoliomanager.energystar.gov/pm/glossary#NumberOfCommercialRefrigerationFreezerUnits" TargetMode="External" Type="http://schemas.openxmlformats.org/officeDocument/2006/relationships/hyperlink"/><Relationship Id="rId31" Target="https://portfoliomanager.energystar.gov/pm/glossary#PercentThatCanBeHeated" TargetMode="External" Type="http://schemas.openxmlformats.org/officeDocument/2006/relationships/hyperlink"/><Relationship Id="rId32" Target="https://portfoliomanager.energystar.gov/pm/glossary#PercentThatCanBeCooled" TargetMode="External" Type="http://schemas.openxmlformats.org/officeDocument/2006/relationships/hyperlink"/><Relationship Id="rId33" Target="https://portfoliomanager.energystar.gov/pm/glossary#MeterFirstLastBillDate" TargetMode="External" Type="http://schemas.openxmlformats.org/officeDocument/2006/relationships/hyperlink"/><Relationship Id="rId34"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