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Senior Living Community</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Senior Living Community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Maximum Resident Capacity</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Average Number of Residents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Total Number of Residential Living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Number of Residential Washing Machines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Number of Commercial Washing Machines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Number of Residential Electronic Lift Systems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Number of Commercial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2">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single"/>
              <w:right w:val="nil"/>
            </w:tcBorders>
            <w:vAlign w:val="top"/>
          </w:tcPr>
          <w:p>
            <w:pPr>
              <w:spacing w:after="120" w:before="240" w:lineRule="auto" w:line="240"/>
            </w:pPr>
            <w:r>
              <w:rPr>
                <w:sz w:val="22"/>
              </w:rPr>
            </w:r>
            <w:hyperlink r:id="rId33">
              <w:r>
                <w:rPr>
                  <w:color w:val=""/>
                  <w:b w:val="true"/>
                  <w:sz w:val="22"/>
                  <w:u w:val="single"/>
                </w:rPr>
                <w:t>Licensed Bed Capacity</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Senior Living Community</w:t>
      </w:r>
    </w:p>
    <w:p>
      <w:r>
        <w:rPr>
          <w:sz w:val="22"/>
        </w:rPr>
        <w:t xml:space="preserve">Senior Living Community refers to buildings that house and provide care and assistance for elderly residents, specifically homes (skilled nursing facilities) and assisted living facilities. It is </w:t>
      </w:r>
      <w:r>
        <w:rPr>
          <w:sz w:val="22"/>
          <w:b w:val="on"/>
        </w:rPr>
        <w:t>NOT</w:t>
      </w:r>
      <w:r>
        <w:rPr>
          <w:sz w:val="22"/>
        </w:rPr>
        <w:t xml:space="preserve"> intended for retirement or other senior communities that offer only independent living – a community with only independent living should benchmark as a Multifamily property (see below for further details).</w:t>
      </w:r>
    </w:p>
    <w:p>
      <w:r>
        <w:rPr>
          <w:sz w:val="22"/>
        </w:rPr>
        <w:t>Gross Floor Area should include all fully-enclosed space within the exterior walls of the building(s) including individual rooms or units, wellness centers, exam rooms, community rooms, small shops or service areas for residents and visitors (e.g. hair salons, convenience stores), staff offices, lobbies, atriums, cafeterias, kitchens, storage areas, hallways, basements, stairways, corridors between buildings, and elevator shafts. Open air stairwells, breezeways, and other similar areas that are not fully-enclosed should not be included in the gross floor area.</w:t>
      </w:r>
    </w:p>
    <w:p>
      <w:r>
        <w:rPr>
          <w:sz w:val="22"/>
        </w:rPr>
        <w:t>It is common for Senior Living Communities to include a mix of different living options, including both independent living, assisted living, and/or skilled nursing. In these situations, benchmarking guidance depends on the percent of living units designated as skilled nursing/assisted living:</w:t>
      </w:r>
    </w:p>
    <w:p>
      <w:pPr>
        <w:pStyle w:val="ListParagraph"/>
        <w:numPr>
          <w:numId w:val="16"/>
        </w:numPr>
      </w:pPr>
      <w:r>
        <w:rPr>
          <w:sz w:val="22"/>
        </w:rPr>
        <w:t>If more than 50% of the units in a community are skilled nursing and/or assisted living, the entire property should be benchmarked as a Senior Living Community. You can use one property use to characterize all activities at the community, including any independent living that may be present.</w:t>
      </w:r>
    </w:p>
    <w:p>
      <w:pPr>
        <w:pStyle w:val="ListParagraph"/>
        <w:numPr>
          <w:numId w:val="16"/>
        </w:numPr>
      </w:pPr>
      <w:r>
        <w:rPr>
          <w:sz w:val="22"/>
        </w:rPr>
        <w:t>If 50% or more of the units are independent living, the property should be benchmarked using both the Senior Living Community and Multifamily property uses. In this situation, the floor area of hallways and units for assisted living and any community areas specifically used to assist residents (e.g. nursing stations, exam rooms, physical therapy rooms, etc.) should be benchmarked with the Senior Living Community property use. The floor area of hallways and units for independent living along with any open common areas that are used by residents of both the independent and the nursing/assisted living units (e.g. game rooms or restaurants) should be benchmarked with the Multifamily property use.</w:t>
      </w:r>
    </w:p>
    <w:p>
      <w:r>
        <w:rPr>
          <w:sz w:val="26"/>
          <w:b w:val="on"/>
        </w:rPr>
        <w:br/>
        <w:t>Helpful Hints for Senior Living Community</w:t>
      </w:r>
    </w:p>
    <w:p>
      <w:pPr>
        <w:pStyle w:val="ListParagraph"/>
        <w:numPr>
          <w:numId w:val="16"/>
        </w:numPr>
      </w:pPr>
      <w:r>
        <w:rPr>
          <w:sz w:val="22"/>
        </w:rPr>
        <w:t>The Average Number of Residents is the time-weighted average for the community over the past 12 months.</w:t>
      </w:r>
    </w:p>
    <w:p>
      <w:pPr>
        <w:pStyle w:val="ListParagraph"/>
        <w:numPr>
          <w:numId w:val="16"/>
        </w:numPr>
      </w:pPr>
      <w:r>
        <w:rPr>
          <w:sz w:val="22"/>
        </w:rPr>
        <w:t>The Number of Workers on Main Shift should be entered as the number of workers present on a site at the same time, not the total number of workers added up across all shifts during a day.</w:t>
      </w:r>
    </w:p>
    <w:p>
      <w:pPr>
        <w:pStyle w:val="ListParagraph"/>
        <w:numPr>
          <w:numId w:val="16"/>
        </w:numPr>
      </w:pPr>
      <w:r>
        <w:rPr>
          <w:sz w:val="22"/>
        </w:rPr>
        <w:t>If you have a qualifying senior living community made up of multiple buildings on a campus, you can benchmark it as a single entity by aggregating the floor area. You do not need to enter separate properties in Portfolio Manager for each individual building.</w:t>
      </w:r>
    </w:p>
    <w:p>
      <w:pPr>
        <w:pStyle w:val="ListParagraph"/>
        <w:numPr>
          <w:numId w:val="16"/>
        </w:numPr>
      </w:pPr>
      <w:r>
        <w:rPr>
          <w:sz w:val="22"/>
        </w:rPr>
        <w:t xml:space="preserve">Energy and water for all buildings in a senior living community should be included. It can be entered in aggregate or as individual meters.  </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34">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5">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SeniorCareCommunity"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MaximumResidentCapacity" TargetMode="External" Type="http://schemas.openxmlformats.org/officeDocument/2006/relationships/hyperlink"/><Relationship Id="rId23" Target="https://portfoliomanager.energystar.gov/pm/glossary#AverageNumberOfResidents" TargetMode="External" Type="http://schemas.openxmlformats.org/officeDocument/2006/relationships/hyperlink"/><Relationship Id="rId24" Target="https://portfoliomanager.energystar.gov/pm/glossary#NumberOfResidentialLivingUnits" TargetMode="External" Type="http://schemas.openxmlformats.org/officeDocument/2006/relationships/hyperlink"/><Relationship Id="rId25" Target="https://portfoliomanager.energystar.gov/pm/glossary#NumberOfWorkersOnMainShift" TargetMode="External" Type="http://schemas.openxmlformats.org/officeDocument/2006/relationships/hyperlink"/><Relationship Id="rId26" Target="https://portfoliomanager.energystar.gov/pm/glossary#NumberOfComputers" TargetMode="External" Type="http://schemas.openxmlformats.org/officeDocument/2006/relationships/hyperlink"/><Relationship Id="rId27" Target="https://portfoliomanager.energystar.gov/pm/glossary#NumberOfResidentialWashingMachines" TargetMode="External" Type="http://schemas.openxmlformats.org/officeDocument/2006/relationships/hyperlink"/><Relationship Id="rId28" Target="https://portfoliomanager.energystar.gov/pm/glossary#NumberOfCommercialWashingMachines" TargetMode="External" Type="http://schemas.openxmlformats.org/officeDocument/2006/relationships/hyperlink"/><Relationship Id="rId29" Target="https://portfoliomanager.energystar.gov/pm/glossary#NumberOfResidentialElectronicLiftSystems" TargetMode="External" Type="http://schemas.openxmlformats.org/officeDocument/2006/relationships/hyperlink"/><Relationship Id="rId3" Target="styles.xml" Type="http://schemas.openxmlformats.org/officeDocument/2006/relationships/styles"/><Relationship Id="rId30" Target="https://portfoliomanager.energystar.gov/pm/glossary#NumberOfCommercialRefrigerationFreezerUnits" TargetMode="External" Type="http://schemas.openxmlformats.org/officeDocument/2006/relationships/hyperlink"/><Relationship Id="rId31" Target="https://portfoliomanager.energystar.gov/pm/glossary#PercentThatCanBeHeated" TargetMode="External" Type="http://schemas.openxmlformats.org/officeDocument/2006/relationships/hyperlink"/><Relationship Id="rId32" Target="https://portfoliomanager.energystar.gov/pm/glossary#PercentThatCanBeCooled" TargetMode="External" Type="http://schemas.openxmlformats.org/officeDocument/2006/relationships/hyperlink"/><Relationship Id="rId33" Target="https://portfoliomanager.energystar.gov/pm/glossary#LicensedBedCapacity" TargetMode="External" Type="http://schemas.openxmlformats.org/officeDocument/2006/relationships/hyperlink"/><Relationship Id="rId34" Target="https://portfoliomanager.energystar.gov/pm/glossary#MeterFirstLastBillDate" TargetMode="External" Type="http://schemas.openxmlformats.org/officeDocument/2006/relationships/hyperlink"/><Relationship Id="rId35"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