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Office</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Office Uses</w:t>
            </w:r>
          </w:p>
        </w:tc>
      </w:tr>
      <w:tr>
        <w:trPr>
          <w:trHeight w:val="360"/>
        </w:trPr>
        <w:tc>
          <w:tcPr>
            <w:gridSpan w:val="2"/>
            <w:tcBorders>
              <w:top w:val="nil"/>
              <w:bottom w:val="nil"/>
            </w:tcBorders>
            <w:vAlign w:val="top"/>
          </w:tcPr>
          <w:p>
            <w:pPr>
              <w:spacing w:after="120" w:before="240" w:lineRule="auto" w:line="240"/>
            </w:pPr>
            <w:r>
              <w:rPr>
                <w:sz w:val="22"/>
              </w:rPr>
              <w:t>The following information is required to get an ENERGY STAR Score (</w:t>
            </w:r>
            <w:r>
              <w:rPr>
                <w:sz w:val="22"/>
              </w:rPr>
            </w:r>
            <w:hyperlink r:id="rId20">
              <w:r>
                <w:rPr>
                  <w:color w:val=""/>
                  <w:b w:val="true"/>
                  <w:sz w:val="22"/>
                  <w:u w:val="single"/>
                </w:rPr>
                <w:t>if eligible</w:t>
              </w:r>
            </w:hyperlink>
            <w:r>
              <w:rPr>
                <w:sz w:val="22"/>
              </w:rPr>
              <w:t>):</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3">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4">
              <w:r>
                <w:rPr>
                  <w:color w:val=""/>
                  <w:b w:val="true"/>
                  <w:sz w:val="22"/>
                  <w:u w:val="single"/>
                </w:rPr>
                <w:t>Number of Computers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5">
              <w:r>
                <w:rPr>
                  <w:color w:val=""/>
                  <w:b w:val="true"/>
                  <w:sz w:val="22"/>
                  <w:u w:val="single"/>
                </w:rPr>
                <w:t>Percent That Can Be Cooled</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used to calculate a score; it may inform future analysis and score revisions by EPA and/or may help you manage and compare your properties:</w:t>
            </w:r>
          </w:p>
        </w:tc>
      </w:tr>
      <w:tr>
        <w:trPr>
          <w:trHeight w:val="360"/>
        </w:trPr>
        <w:tc>
          <w:tcPr>
            <w:tcW w:w="1500"/>
            <w:tcBorders>
              <w:top w:val="nil"/>
              <w:bottom w:val="single"/>
              <w:right w:val="nil"/>
            </w:tcBorders>
            <w:vAlign w:val="top"/>
          </w:tcPr>
          <w:p>
            <w:pPr>
              <w:spacing w:after="120" w:before="240" w:lineRule="auto" w:line="240"/>
            </w:pPr>
            <w:r>
              <w:rPr>
                <w:sz w:val="22"/>
              </w:rPr>
            </w:r>
            <w:hyperlink r:id="rId26">
              <w:r>
                <w:rPr>
                  <w:color w:val=""/>
                  <w:b w:val="true"/>
                  <w:sz w:val="22"/>
                  <w:u w:val="single"/>
                </w:rPr>
                <w:t>Percent That Can Be Heated</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Office</w:t>
      </w:r>
    </w:p>
    <w:p>
      <w:r>
        <w:rPr>
          <w:sz w:val="22"/>
        </w:rPr>
        <w:t>Office refers to buildings used to conduct commercial or governmental business activities. This includes administrative and professional offices.</w:t>
      </w:r>
    </w:p>
    <w:p>
      <w:r>
        <w:rPr>
          <w:sz w:val="22"/>
        </w:rPr>
        <w:t>Gross Floor Area (GFA) should include all space within the building(s), including but not limited to offices, conference rooms and auditoriums, break rooms, restrooms, kitchens, lobbies, fitness areas, basements, storage areas, stairways, and elevator shafts.</w:t>
      </w:r>
    </w:p>
    <w:p>
      <w:r>
        <w:rPr>
          <w:sz w:val="22"/>
        </w:rPr>
        <w:t>If you have restaurants, retail, or services (dry cleaners) within the Office, you should most likely include this square footage and energy in the Office Property Use. There are 4 exceptions to this rule when you should create a separate Property Use:</w:t>
      </w:r>
    </w:p>
    <w:p>
      <w:pPr>
        <w:pStyle w:val="ListParagraph"/>
        <w:numPr>
          <w:numId w:val="16"/>
        </w:numPr>
      </w:pPr>
      <w:r>
        <w:rPr>
          <w:sz w:val="22"/>
        </w:rPr>
        <w:t xml:space="preserve">If it is a </w:t>
      </w:r>
      <w:r>
        <w:rPr>
          <w:sz w:val="22"/>
        </w:rPr>
      </w:r>
      <w:hyperlink r:id="rId27">
        <w:r>
          <w:rPr>
            <w:color w:val=""/>
            <w:b w:val="true"/>
            <w:sz w:val="22"/>
            <w:u w:val="single"/>
          </w:rPr>
          <w:t>Property Use Type that can get an ENERGY STAR Score</w:t>
        </w:r>
      </w:hyperlink>
      <w:r>
        <w:rPr>
          <w:sz w:val="22"/>
        </w:rPr>
        <w:t xml:space="preserve"> (note: Retail can only get a score if it is greater than 5,000 square feet)</w:t>
      </w:r>
    </w:p>
    <w:p>
      <w:pPr>
        <w:pStyle w:val="ListParagraph"/>
        <w:numPr>
          <w:numId w:val="16"/>
        </w:numPr>
      </w:pPr>
      <w:r>
        <w:rPr>
          <w:sz w:val="22"/>
        </w:rPr>
        <w:t>If it accounts for more than 25% of the property's GFA</w:t>
      </w:r>
    </w:p>
    <w:p>
      <w:pPr>
        <w:pStyle w:val="ListParagraph"/>
        <w:numPr>
          <w:numId w:val="16"/>
        </w:numPr>
      </w:pPr>
      <w:r>
        <w:rPr>
          <w:sz w:val="22"/>
        </w:rPr>
        <w:t>If it is a vacant/unoccupied Office, Financial Office, Bank, Courthouse, or Medical Office (and the vacancy is greater than 10% of the property's GFA)</w:t>
      </w:r>
    </w:p>
    <w:p>
      <w:pPr>
        <w:pStyle w:val="ListParagraph"/>
        <w:numPr>
          <w:numId w:val="16"/>
        </w:numPr>
      </w:pPr>
      <w:r>
        <w:rPr>
          <w:sz w:val="22"/>
        </w:rPr>
        <w:t>If the Weekly Hours differ by more than 10% for the same Property Type AND that Property Type can get a score (ex: you have two Office tenants, and their hours differ by more than 10%)</w:t>
      </w:r>
    </w:p>
    <w:p>
      <w:r>
        <w:rPr>
          <w:sz w:val="22"/>
        </w:rPr>
      </w:r>
      <w:hyperlink r:id="rId28">
        <w:r>
          <w:rPr>
            <w:color w:val=""/>
            <w:b w:val="true"/>
            <w:sz w:val="22"/>
            <w:u w:val="single"/>
          </w:rPr>
          <w:t>More on this rule. </w:t>
        </w:r>
      </w:hyperlink>
    </w:p>
    <w:p>
      <w:r>
        <w:rPr>
          <w:sz w:val="26"/>
          <w:b w:val="on"/>
        </w:rPr>
        <w:br/>
        <w:t>Helpful Hints for Office</w:t>
      </w:r>
    </w:p>
    <w:p>
      <w:pPr>
        <w:pStyle w:val="ListParagraph"/>
        <w:numPr>
          <w:numId w:val="16"/>
        </w:numPr>
      </w:pPr>
      <w:r>
        <w:rPr>
          <w:sz w:val="22"/>
        </w:rPr>
        <w:t>If more than 10 percent of the office's gross floor area on average was vacant through the last 12 months, enter the vacant space as a separate Property Use with zero for Weekly Operating Hours, Number of Workers on Main Shift and Number of Computers.</w:t>
      </w:r>
    </w:p>
    <w:p>
      <w:pPr>
        <w:pStyle w:val="ListParagraph"/>
        <w:numPr>
          <w:numId w:val="16"/>
        </w:numPr>
      </w:pPr>
      <w:r>
        <w:rPr>
          <w:sz w:val="22"/>
        </w:rPr>
        <w:t>The Weekly Operating Hours value is the number of hours per week that the office is occupied by the majority of its occupants. It should not include hours when the building is occupied solely by maintenance/security personnel or HVAC run times when the building is not occupied by the majority of occupants.</w:t>
      </w:r>
    </w:p>
    <w:p>
      <w:pPr>
        <w:pStyle w:val="ListParagraph"/>
        <w:numPr>
          <w:numId w:val="16"/>
        </w:numPr>
      </w:pPr>
      <w:r>
        <w:rPr>
          <w:sz w:val="22"/>
        </w:rPr>
        <w:t>The Number of Workers on Main Shift should be entered as the number of workers present on a site at the same time, not the total number of workers added up across all shifts during a day.</w:t>
      </w:r>
    </w:p>
    <w:p>
      <w:pPr>
        <w:pStyle w:val="ListParagraph"/>
        <w:numPr>
          <w:numId w:val="16"/>
        </w:numPr>
      </w:pPr>
      <w:r>
        <w:rPr>
          <w:sz w:val="22"/>
        </w:rPr>
        <w:t>When determining the Number of Computers, do not count extra monitors or tablets. For example, a desktop computer with 3 monitors would count as 1. Similarly, a laptop computer with an external monitor would count as 1.</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9">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30">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Office" TargetMode="External" Type="http://schemas.openxmlformats.org/officeDocument/2006/relationships/hyperlink"/><Relationship Id="rId2" Target="numbering.xml" Type="http://schemas.openxmlformats.org/officeDocument/2006/relationships/numbering"/><Relationship Id="rId20" Target="http://www.energystar.gov/buildings/facility-owners-and-managers/existing-buildings/use-portfolio-manager/understand-metrics/eligibility" TargetMode="External" Type="http://schemas.openxmlformats.org/officeDocument/2006/relationships/hyperlink"/><Relationship Id="rId21" Target="https://portfoliomanager.energystar.gov/pm/glossary#GrossFloorArea" TargetMode="External" Type="http://schemas.openxmlformats.org/officeDocument/2006/relationships/hyperlink"/><Relationship Id="rId22" Target="https://portfoliomanager.energystar.gov/pm/glossary#WeeklyOperatingHours" TargetMode="External" Type="http://schemas.openxmlformats.org/officeDocument/2006/relationships/hyperlink"/><Relationship Id="rId23" Target="https://portfoliomanager.energystar.gov/pm/glossary#NumberOfWorkersOnMainShift" TargetMode="External" Type="http://schemas.openxmlformats.org/officeDocument/2006/relationships/hyperlink"/><Relationship Id="rId24" Target="https://portfoliomanager.energystar.gov/pm/glossary#NumberOfComputers" TargetMode="External" Type="http://schemas.openxmlformats.org/officeDocument/2006/relationships/hyperlink"/><Relationship Id="rId25" Target="https://portfoliomanager.energystar.gov/pm/glossary#PercentThatCanBeCooled" TargetMode="External" Type="http://schemas.openxmlformats.org/officeDocument/2006/relationships/hyperlink"/><Relationship Id="rId26" Target="https://portfoliomanager.energystar.gov/pm/glossary#PercentThatCanBeHeated" TargetMode="External" Type="http://schemas.openxmlformats.org/officeDocument/2006/relationships/hyperlink"/><Relationship Id="rId27" Target="/faqs/PortfolioManager/s/article/Property-types-eligible-for-an-ENERGY-STAR-score-certification-1748913892881" TargetMode="External" Type="http://schemas.openxmlformats.org/officeDocument/2006/relationships/hyperlink"/><Relationship Id="rId28" Target="/faqs/PortfolioManager/s/article/When-should-I-create-separate-Property-Uses-1748912950804" TargetMode="External" Type="http://schemas.openxmlformats.org/officeDocument/2006/relationships/hyperlink"/><Relationship Id="rId29"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30" Target="https://portfoliomanager.energystar.gov/pm/glossary#MeterFirstLastBillDate" TargetMode="External" Type="http://schemas.openxmlformats.org/officeDocument/2006/relationships/hyperlink"/><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