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College/University</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College/University Uses</w:t>
            </w: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required</w:t>
            </w:r>
            <w:r>
              <w:rPr>
                <w:sz w:val="22"/>
              </w:rPr>
              <w:t xml:space="preserve"> for basic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0">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included in any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Number of Full Time Students Enrolled (September - December)</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Number of Full Time Students Enrolled (January - April)</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3">
              <w:r>
                <w:rPr>
                  <w:color w:val=""/>
                  <w:b w:val="true"/>
                  <w:sz w:val="22"/>
                  <w:u w:val="single"/>
                </w:rPr>
                <w:t>Number of Full Time Students Enrolled (May - August)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4">
              <w:r>
                <w:rPr>
                  <w:color w:val=""/>
                  <w:b w:val="true"/>
                  <w:sz w:val="22"/>
                  <w:u w:val="single"/>
                </w:rPr>
                <w:t>Annual Research Expenditure</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5">
              <w:r>
                <w:rPr>
                  <w:color w:val=""/>
                  <w:b w:val="true"/>
                  <w:sz w:val="22"/>
                  <w:u w:val="single"/>
                </w:rPr>
                <w:t>Percent Floor Area That is Laboratory</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6">
              <w:r>
                <w:rPr>
                  <w:color w:val=""/>
                  <w:b w:val="true"/>
                  <w:sz w:val="22"/>
                  <w:u w:val="single"/>
                </w:rPr>
                <w:t>Highest Level of Award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7">
              <w:r>
                <w:rPr>
                  <w:color w:val=""/>
                  <w:b w:val="true"/>
                  <w:sz w:val="22"/>
                  <w:u w:val="single"/>
                </w:rPr>
                <w:t>Percent That Can Be Heated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8">
              <w:r>
                <w:rPr>
                  <w:color w:val=""/>
                  <w:b w:val="true"/>
                  <w:sz w:val="22"/>
                  <w:u w:val="single"/>
                </w:rPr>
                <w:t>Percent That Can Be Cooled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9">
              <w:r>
                <w:rPr>
                  <w:color w:val=""/>
                  <w:b w:val="true"/>
                  <w:sz w:val="22"/>
                  <w:u w:val="single"/>
                </w:rPr>
                <w:t>Weekly Operating Hours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0">
              <w:r>
                <w:rPr>
                  <w:color w:val=""/>
                  <w:b w:val="true"/>
                  <w:sz w:val="22"/>
                  <w:u w:val="single"/>
                </w:rPr>
                <w:t>Enrollment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1">
              <w:r>
                <w:rPr>
                  <w:color w:val=""/>
                  <w:b w:val="true"/>
                  <w:sz w:val="22"/>
                  <w:u w:val="single"/>
                </w:rPr>
                <w:t>Number of Full-Time Equivalent (FTE) Workers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2">
              <w:r>
                <w:rPr>
                  <w:color w:val=""/>
                  <w:b w:val="true"/>
                  <w:sz w:val="22"/>
                  <w:u w:val="single"/>
                </w:rPr>
                <w:t>Number of Computers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33">
              <w:r>
                <w:rPr>
                  <w:color w:val=""/>
                  <w:b w:val="true"/>
                  <w:sz w:val="22"/>
                  <w:u w:val="single"/>
                </w:rPr>
                <w:t>Grant Dollars</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College/University</w:t>
      </w:r>
    </w:p>
    <w:p>
      <w:r>
        <w:rPr>
          <w:sz w:val="22"/>
        </w:rPr>
        <w:t>College/University refers to buildings used for the purpose of higher education. This includes public and private colleges and universities.</w:t>
      </w:r>
    </w:p>
    <w:p>
      <w:r>
        <w:rPr>
          <w:sz w:val="22"/>
        </w:rPr>
        <w:t>Gross Floor Area should include all space within the building(s), including but not limited to: classrooms, laboratories, offices, cafeterias, libraries, maintenance facilities, arts facilities, athletic facilities, residential areas, storage rooms, restrooms, elevator shafts, and stairways.</w:t>
      </w:r>
    </w:p>
    <w:p>
      <w:r>
        <w:rPr>
          <w:sz w:val="22"/>
        </w:rPr>
        <w:t>To be eligible for an ENERGY STAR score in certification in Canada:</w:t>
      </w:r>
    </w:p>
    <w:p>
      <w:pPr>
        <w:pStyle w:val="ListParagraph"/>
        <w:numPr>
          <w:numId w:val="16"/>
        </w:numPr>
      </w:pPr>
      <w:r>
        <w:rPr>
          <w:sz w:val="22"/>
        </w:rPr>
        <w:t>The campus boundaries must match those of publicly available documentation, such as a campus maps. A campus can consist of a single building or a collection of buildings.</w:t>
      </w:r>
    </w:p>
    <w:p>
      <w:pPr>
        <w:pStyle w:val="ListParagraph"/>
        <w:numPr>
          <w:numId w:val="16"/>
        </w:numPr>
      </w:pPr>
      <w:r>
        <w:rPr>
          <w:sz w:val="22"/>
        </w:rPr>
        <w:t>The campus must have full time students enrolled in the Fall (Sept-Dec) and Winter (Jan-Apr) semesters</w:t>
      </w:r>
    </w:p>
    <w:p>
      <w:pPr>
        <w:pStyle w:val="ListParagraph"/>
        <w:numPr>
          <w:numId w:val="16"/>
        </w:numPr>
      </w:pPr>
      <w:r>
        <w:rPr>
          <w:sz w:val="22"/>
        </w:rPr>
        <w:t>The highest program offered by the campus must be at least 2 years in length for full time students</w:t>
      </w:r>
    </w:p>
    <w:p>
      <w:pPr>
        <w:pStyle w:val="ListParagraph"/>
        <w:numPr>
          <w:numId w:val="16"/>
        </w:numPr>
      </w:pPr>
      <w:r>
        <w:rPr>
          <w:sz w:val="22"/>
        </w:rPr>
        <w:t>The campus must be less than 50% specialized lab space</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34">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35">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CollegeUniversity" TargetMode="External" Type="http://schemas.openxmlformats.org/officeDocument/2006/relationships/hyperlink"/><Relationship Id="rId2" Target="numbering.xml" Type="http://schemas.openxmlformats.org/officeDocument/2006/relationships/numbering"/><Relationship Id="rId20" Target="https://portfoliomanager.energystar.gov/pm/glossary#GrossFloorArea" TargetMode="External" Type="http://schemas.openxmlformats.org/officeDocument/2006/relationships/hyperlink"/><Relationship Id="rId21" Target="https://portfoliomanager.energystar.gov/pm/glossary#FullTimeStudentEnrollment" TargetMode="External" Type="http://schemas.openxmlformats.org/officeDocument/2006/relationships/hyperlink"/><Relationship Id="rId22" Target="https://portfoliomanager.energystar.gov/pm/glossary#FullTimeStudentEnrollment" TargetMode="External" Type="http://schemas.openxmlformats.org/officeDocument/2006/relationships/hyperlink"/><Relationship Id="rId23" Target="https://portfoliomanager.energystar.gov/pm/glossary#FullTimeStudentEnrollment" TargetMode="External" Type="http://schemas.openxmlformats.org/officeDocument/2006/relationships/hyperlink"/><Relationship Id="rId24" Target="https://portfoliomanager.energystar.gov/pm/glossary#AnnualResearchExpenditure" TargetMode="External" Type="http://schemas.openxmlformats.org/officeDocument/2006/relationships/hyperlink"/><Relationship Id="rId25" Target="https://portfoliomanager.energystar.gov/pm/glossary#PercentOfLabFloorArea" TargetMode="External" Type="http://schemas.openxmlformats.org/officeDocument/2006/relationships/hyperlink"/><Relationship Id="rId26" Target="https://portfoliomanager.energystar.gov/pm/glossary#HighestAwardLevel" TargetMode="External" Type="http://schemas.openxmlformats.org/officeDocument/2006/relationships/hyperlink"/><Relationship Id="rId27" Target="https://portfoliomanager.energystar.gov/pm/glossary#PercentThatCanBeHeated" TargetMode="External" Type="http://schemas.openxmlformats.org/officeDocument/2006/relationships/hyperlink"/><Relationship Id="rId28" Target="https://portfoliomanager.energystar.gov/pm/glossary#PercentThatCanBeCooled" TargetMode="External" Type="http://schemas.openxmlformats.org/officeDocument/2006/relationships/hyperlink"/><Relationship Id="rId29" Target="https://portfoliomanager.energystar.gov/pm/glossary#WeeklyOperatingHours" TargetMode="External" Type="http://schemas.openxmlformats.org/officeDocument/2006/relationships/hyperlink"/><Relationship Id="rId3" Target="styles.xml" Type="http://schemas.openxmlformats.org/officeDocument/2006/relationships/styles"/><Relationship Id="rId30" Target="https://portfoliomanager.energystar.gov/pm/glossary#Enrollment" TargetMode="External" Type="http://schemas.openxmlformats.org/officeDocument/2006/relationships/hyperlink"/><Relationship Id="rId31" Target="https://portfoliomanager.energystar.gov/pm/glossary#NumberOfFullTimeEquivalentWorkers" TargetMode="External" Type="http://schemas.openxmlformats.org/officeDocument/2006/relationships/hyperlink"/><Relationship Id="rId32" Target="https://portfoliomanager.energystar.gov/pm/glossary#NumberOfComputers" TargetMode="External" Type="http://schemas.openxmlformats.org/officeDocument/2006/relationships/hyperlink"/><Relationship Id="rId33" Target="https://portfoliomanager.energystar.gov/pm/glossary#GrantDollars" TargetMode="External" Type="http://schemas.openxmlformats.org/officeDocument/2006/relationships/hyperlink"/><Relationship Id="rId34" Target="https://portfoliomanager.energystar.gov/pm/glossary#MeterFirstLastBillDate" TargetMode="External" Type="http://schemas.openxmlformats.org/officeDocument/2006/relationships/hyperlink"/><Relationship Id="rId35" Target="https://portfoliomanager.energystar.gov/pm/glossary#MeterFirstLastBillDate" TargetMode="External" Type="http://schemas.openxmlformats.org/officeDocument/2006/relationships/hyperlink"/><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