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K-12 School</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K-12 School Uses</w:t>
            </w:r>
          </w:p>
        </w:tc>
      </w:tr>
      <w:tr>
        <w:trPr>
          <w:trHeight w:val="360"/>
        </w:trPr>
        <w:tc>
          <w:tcPr>
            <w:gridSpan w:val="2"/>
            <w:tcBorders>
              <w:top w:val="nil"/>
              <w:bottom w:val="nil"/>
            </w:tcBorders>
            <w:vAlign w:val="top"/>
          </w:tcPr>
          <w:p>
            <w:pPr>
              <w:spacing w:after="120" w:before="240" w:lineRule="auto" w:line="240"/>
            </w:pPr>
            <w:r>
              <w:rPr>
                <w:sz w:val="22"/>
              </w:rPr>
              <w:t>The following information is required to get an ENERGY STAR Score (</w:t>
            </w:r>
            <w:r>
              <w:rPr>
                <w:sz w:val="22"/>
              </w:rPr>
            </w:r>
            <w:hyperlink r:id="rId20">
              <w:r>
                <w:rPr>
                  <w:color w:val=""/>
                  <w:b w:val="true"/>
                  <w:sz w:val="22"/>
                  <w:u w:val="single"/>
                </w:rPr>
                <w:t>if eligible</w:t>
              </w:r>
            </w:hyperlink>
            <w:r>
              <w:rPr>
                <w:sz w:val="22"/>
              </w:rPr>
              <w:t>):</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High School</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Weekend Operation</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Cooking Facilities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6">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7">
              <w:r>
                <w:rPr>
                  <w:color w:val=""/>
                  <w:b w:val="true"/>
                  <w:sz w:val="22"/>
                  <w:u w:val="single"/>
                </w:rPr>
                <w:t>Percent That Can Be Cooled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used to calculate a score; it may inform future analysis and score revisions by EPA and/or may help you manage and compare your properties:</w:t>
            </w:r>
          </w:p>
        </w:tc>
      </w:tr>
      <w:tr>
        <w:trPr>
          <w:trHeight w:val="360"/>
        </w:trPr>
        <w:tc>
          <w:tcPr>
            <w:tcW w:w="1500"/>
            <w:tcBorders>
              <w:top w:val="nil"/>
              <w:bottom w:val="nil"/>
              <w:right w:val="nil"/>
            </w:tcBorders>
            <w:vAlign w:val="top"/>
          </w:tcPr>
          <w:p>
            <w:pPr>
              <w:spacing w:after="120" w:before="240" w:lineRule="auto" w:line="240"/>
            </w:pPr>
            <w:r>
              <w:rPr>
                <w:sz w:val="22"/>
              </w:rPr>
            </w:r>
            <w:hyperlink r:id="rId28">
              <w:r>
                <w:rPr>
                  <w:color w:val=""/>
                  <w:b w:val="true"/>
                  <w:sz w:val="22"/>
                  <w:u w:val="single"/>
                </w:rPr>
                <w:t>Student Seating Capacity</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9">
              <w:r>
                <w:rPr>
                  <w:color w:val=""/>
                  <w:b w:val="true"/>
                  <w:sz w:val="22"/>
                  <w:u w:val="single"/>
                </w:rPr>
                <w:t>Months in Use</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0">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1">
              <w:r>
                <w:rPr>
                  <w:color w:val=""/>
                  <w:b w:val="true"/>
                  <w:sz w:val="22"/>
                  <w:u w:val="single"/>
                </w:rPr>
                <w:t>Gross Floor Area Used for Food Preparation</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2">
              <w:r>
                <w:rPr>
                  <w:color w:val=""/>
                  <w:b w:val="true"/>
                  <w:sz w:val="22"/>
                  <w:u w:val="single"/>
                </w:rPr>
                <w:t>Number of Walk-in Refrigeration/Freezer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3">
              <w:r>
                <w:rPr>
                  <w:color w:val=""/>
                  <w:b w:val="true"/>
                  <w:sz w:val="22"/>
                  <w:u w:val="single"/>
                </w:rPr>
                <w:t>Gymnasium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34">
              <w:r>
                <w:rPr>
                  <w:color w:val=""/>
                  <w:b w:val="true"/>
                  <w:sz w:val="22"/>
                  <w:u w:val="single"/>
                </w:rPr>
                <w:t>School District</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K-12 School</w:t>
      </w:r>
    </w:p>
    <w:p>
      <w:r>
        <w:rPr>
          <w:sz w:val="22"/>
        </w:rPr>
        <w:t>K-12 School refers to buildings or campuses used as a school for Kindergarten through 12th grade students. This does not include college or university classroom facilities/laboratories, vocational, technical, trade, adult or continuing education schools, preschool</w:t>
      </w:r>
      <w:r>
        <w:rPr>
          <w:sz w:val="22"/>
        </w:rPr>
        <w:t>&lt;sup&gt;*&lt;/sup&gt;</w:t>
      </w:r>
      <w:r>
        <w:rPr>
          <w:sz w:val="22"/>
        </w:rPr>
        <w:t>, or day care</w:t>
      </w:r>
      <w:r>
        <w:rPr>
          <w:sz w:val="22"/>
        </w:rPr>
        <w:t>&lt;sup&gt;*&lt;/sup&gt;</w:t>
      </w:r>
      <w:r>
        <w:rPr>
          <w:sz w:val="22"/>
        </w:rPr>
        <w:t>.</w:t>
      </w:r>
    </w:p>
    <w:p>
      <w:r>
        <w:rPr>
          <w:sz w:val="22"/>
        </w:rPr>
        <w:t>If the school serves any of the above student populations (e.g., an elementary school that includes pre-kindergarten), at least 75% of the students must be in grades kindergarten through 12.</w:t>
      </w:r>
    </w:p>
    <w:p>
      <w:r>
        <w:rPr>
          <w:sz w:val="22"/>
        </w:rPr>
        <w:t>Gross Floor Area should include all space within the building(s), including but not limited to classrooms, administrative space, conference rooms, restrooms, kitchens used by staff, lobbies, cafeterias, gymnasiums, auditoriums, laboratory classrooms, portable classrooms, greenhouses, stairways, atriums, elevator shafts, small landscaping sheds, and storage areas.</w:t>
      </w:r>
    </w:p>
    <w:p>
      <w:r>
        <w:rPr>
          <w:sz w:val="22"/>
        </w:rPr>
        <w:t>&lt;sup&gt;*&lt;/sup&gt;</w:t>
      </w:r>
      <w:r>
        <w:rPr>
          <w:sz w:val="22"/>
        </w:rPr>
        <w:t>For Canadian properties: Pre-kindergarten, before school care, and after school care, can be included in the K-12 GFA as long as at least 75% of the students are in grades kindergarten through 12.</w:t>
      </w:r>
    </w:p>
    <w:p>
      <w:r>
        <w:rPr>
          <w:sz w:val="26"/>
          <w:b w:val="on"/>
        </w:rPr>
        <w:br/>
        <w:t>Helpful Hints for K-12 School</w:t>
      </w:r>
    </w:p>
    <w:p>
      <w:pPr>
        <w:pStyle w:val="ListParagraph"/>
        <w:numPr>
          <w:numId w:val="16"/>
        </w:numPr>
      </w:pPr>
      <w:r>
        <w:rPr>
          <w:sz w:val="22"/>
        </w:rPr>
        <w:t>The Property Use Details that are required to calculate the ENERGY STAR Score are noted with blue stars in Portfolio Manager.</w:t>
      </w:r>
    </w:p>
    <w:p>
      <w:pPr>
        <w:pStyle w:val="ListParagraph"/>
        <w:numPr>
          <w:numId w:val="16"/>
        </w:numPr>
      </w:pPr>
      <w:r>
        <w:rPr>
          <w:sz w:val="22"/>
        </w:rPr>
        <w:t>The Number of Computers should only count computers owned by the school, not those that are owned by students or faculty. Smartboards and tablets should NOT be included in this count. Laptops should be included.</w:t>
      </w:r>
    </w:p>
    <w:p>
      <w:pPr>
        <w:pStyle w:val="ListParagraph"/>
        <w:numPr>
          <w:numId w:val="16"/>
        </w:numPr>
      </w:pPr>
      <w:r>
        <w:rPr>
          <w:sz w:val="22"/>
        </w:rPr>
        <w:t>The Number of Walk-In Refrigeration Units should only include large storage units that a person actually walks into in order to store or retrieve perishable goods.</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35">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36">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K12School" TargetMode="External" Type="http://schemas.openxmlformats.org/officeDocument/2006/relationships/hyperlink"/><Relationship Id="rId2" Target="numbering.xml" Type="http://schemas.openxmlformats.org/officeDocument/2006/relationships/numbering"/><Relationship Id="rId20" Target="http://www.energystar.gov/buildings/facility-owners-and-managers/existing-buildings/use-portfolio-manager/understand-metrics/eligibility" TargetMode="External" Type="http://schemas.openxmlformats.org/officeDocument/2006/relationships/hyperlink"/><Relationship Id="rId21" Target="https://portfoliomanager.energystar.gov/pm/glossary#GrossFloorArea" TargetMode="External" Type="http://schemas.openxmlformats.org/officeDocument/2006/relationships/hyperlink"/><Relationship Id="rId22" Target="https://portfoliomanager.energystar.gov/pm/glossary#HighSchool" TargetMode="External" Type="http://schemas.openxmlformats.org/officeDocument/2006/relationships/hyperlink"/><Relationship Id="rId23" Target="https://portfoliomanager.energystar.gov/pm/glossary#NumberOfWorkersOnMainShift" TargetMode="External" Type="http://schemas.openxmlformats.org/officeDocument/2006/relationships/hyperlink"/><Relationship Id="rId24" Target="https://portfoliomanager.energystar.gov/pm/glossary#WeekendOperation" TargetMode="External" Type="http://schemas.openxmlformats.org/officeDocument/2006/relationships/hyperlink"/><Relationship Id="rId25" Target="https://portfoliomanager.energystar.gov/pm/glossary#CookingFacilities" TargetMode="External" Type="http://schemas.openxmlformats.org/officeDocument/2006/relationships/hyperlink"/><Relationship Id="rId26" Target="https://portfoliomanager.energystar.gov/pm/glossary#PercentThatCanBeHeated" TargetMode="External" Type="http://schemas.openxmlformats.org/officeDocument/2006/relationships/hyperlink"/><Relationship Id="rId27" Target="https://portfoliomanager.energystar.gov/pm/glossary#PercentThatCanBeCooled" TargetMode="External" Type="http://schemas.openxmlformats.org/officeDocument/2006/relationships/hyperlink"/><Relationship Id="rId28" Target="https://portfoliomanager.energystar.gov/pm/glossary#StudentSeatingCapacity" TargetMode="External" Type="http://schemas.openxmlformats.org/officeDocument/2006/relationships/hyperlink"/><Relationship Id="rId29" Target="https://portfoliomanager.energystar.gov/pm/glossary#MonthsInUse" TargetMode="External" Type="http://schemas.openxmlformats.org/officeDocument/2006/relationships/hyperlink"/><Relationship Id="rId3" Target="styles.xml" Type="http://schemas.openxmlformats.org/officeDocument/2006/relationships/styles"/><Relationship Id="rId30" Target="https://portfoliomanager.energystar.gov/pm/glossary#NumberOfComputers" TargetMode="External" Type="http://schemas.openxmlformats.org/officeDocument/2006/relationships/hyperlink"/><Relationship Id="rId31" Target="https://portfoliomanager.energystar.gov/pm/glossary#GrossFloorAreaUsedForFoodPreparation" TargetMode="External" Type="http://schemas.openxmlformats.org/officeDocument/2006/relationships/hyperlink"/><Relationship Id="rId32" Target="https://portfoliomanager.energystar.gov/pm/glossary#NumberOfWalkInRefrigerationFreezerUnits" TargetMode="External" Type="http://schemas.openxmlformats.org/officeDocument/2006/relationships/hyperlink"/><Relationship Id="rId33" Target="https://portfoliomanager.energystar.gov/pm/glossary#GymnasiumFloorArea" TargetMode="External" Type="http://schemas.openxmlformats.org/officeDocument/2006/relationships/hyperlink"/><Relationship Id="rId34" Target="https://portfoliomanager.energystar.gov/pm/glossary#SchoolDistrict" TargetMode="External" Type="http://schemas.openxmlformats.org/officeDocument/2006/relationships/hyperlink"/><Relationship Id="rId35" Target="https://portfoliomanager.energystar.gov/pm/glossary#MeterFirstLastBillDate" TargetMode="External" Type="http://schemas.openxmlformats.org/officeDocument/2006/relationships/hyperlink"/><Relationship Id="rId36" Target="https://portfoliomanager.energystar.gov/pm/glossary#MeterFirstLastBillDate" TargetMode="External" Type="http://schemas.openxmlformats.org/officeDocument/2006/relationships/hyperlink"/><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