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Community Center and Social Meeting Hall</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Community Center and Social Meeting Hall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0">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Percent That Can Be Cooled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25">
              <w:r>
                <w:rPr>
                  <w:color w:val=""/>
                  <w:b w:val="true"/>
                  <w:sz w:val="22"/>
                  <w:u w:val="single"/>
                </w:rPr>
                <w:t>Number of Computers</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Community Center and Social Meeting Hall</w:t>
      </w:r>
    </w:p>
    <w:p>
      <w:r>
        <w:rPr>
          <w:sz w:val="22"/>
        </w:rPr>
        <w:t>Community Center and Social Meeting Hall refers to buildings primarily used for social interactions, recreational activities, learning, and community support services. This may include community group meetings, physical and fitness activities, seminars, and workshops.</w:t>
      </w:r>
    </w:p>
    <w:p>
      <w:r>
        <w:rPr>
          <w:sz w:val="22"/>
        </w:rPr>
        <w:t xml:space="preserve">Please note that Portfolio Manager contains separate property use designations for </w:t>
      </w:r>
      <w:r>
        <w:rPr>
          <w:sz w:val="22"/>
        </w:rPr>
      </w:r>
      <w:hyperlink r:id="rId26">
        <w:r>
          <w:rPr>
            <w:color w:val=""/>
            <w:b w:val="true"/>
            <w:sz w:val="22"/>
            <w:u w:val="single"/>
          </w:rPr>
          <w:t>Convention Centers</w:t>
        </w:r>
      </w:hyperlink>
      <w:r>
        <w:rPr>
          <w:sz w:val="22"/>
        </w:rPr>
        <w:t xml:space="preserve"> and for </w:t>
      </w:r>
      <w:r>
        <w:rPr>
          <w:sz w:val="22"/>
        </w:rPr>
      </w:r>
      <w:hyperlink r:id="rId27">
        <w:r>
          <w:rPr>
            <w:color w:val=""/>
            <w:b w:val="true"/>
            <w:sz w:val="22"/>
            <w:u w:val="single"/>
          </w:rPr>
          <w:t>Fitness Center/Health Club/Gym</w:t>
        </w:r>
      </w:hyperlink>
      <w:r>
        <w:rPr>
          <w:sz w:val="22"/>
        </w:rPr>
        <w:t>. Please refer to the definitions for these property uses to benchmark a property that is used for these purposes.</w:t>
      </w:r>
    </w:p>
    <w:p>
      <w:r>
        <w:rPr>
          <w:sz w:val="22"/>
        </w:rPr>
        <w:t>Gross Floor Area should include all space within the building(s), including meeting rooms, auditoriums/gymnasiums, fitness areas, food service areas, lobbies, administrative/office space, mechanical rooms, storage areas, elevator shafts, and stairwells.</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28">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29">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SocialMeetingHall" TargetMode="External" Type="http://schemas.openxmlformats.org/officeDocument/2006/relationships/hyperlink"/><Relationship Id="rId2" Target="numbering.xml" Type="http://schemas.openxmlformats.org/officeDocument/2006/relationships/numbering"/><Relationship Id="rId20" Target="https://portfoliomanager.energystar.gov/pm/glossary#GrossFloorArea" TargetMode="External" Type="http://schemas.openxmlformats.org/officeDocument/2006/relationships/hyperlink"/><Relationship Id="rId21" Target="https://portfoliomanager.energystar.gov/pm/glossary#WeeklyOperatingHours" TargetMode="External" Type="http://schemas.openxmlformats.org/officeDocument/2006/relationships/hyperlink"/><Relationship Id="rId22" Target="https://portfoliomanager.energystar.gov/pm/glossary#NumberOfWorkersOnMainShift" TargetMode="External" Type="http://schemas.openxmlformats.org/officeDocument/2006/relationships/hyperlink"/><Relationship Id="rId23" Target="https://portfoliomanager.energystar.gov/pm/glossary#PercentThatCanBeHeated" TargetMode="External" Type="http://schemas.openxmlformats.org/officeDocument/2006/relationships/hyperlink"/><Relationship Id="rId24" Target="https://portfoliomanager.energystar.gov/pm/glossary#PercentThatCanBeCooled" TargetMode="External" Type="http://schemas.openxmlformats.org/officeDocument/2006/relationships/hyperlink"/><Relationship Id="rId25" Target="https://portfoliomanager.energystar.gov/pm/glossary#NumberOfComputers" TargetMode="External" Type="http://schemas.openxmlformats.org/officeDocument/2006/relationships/hyperlink"/><Relationship Id="rId26" Target="#ConventionCenter" TargetMode="External" Type="http://schemas.openxmlformats.org/officeDocument/2006/relationships/hyperlink"/><Relationship Id="rId27" Target="#FitnessCenterHealthClubGym" TargetMode="External" Type="http://schemas.openxmlformats.org/officeDocument/2006/relationships/hyperlink"/><Relationship Id="rId28" Target="https://portfoliomanager.energystar.gov/pm/glossary#MeterFirstLastBillDate" TargetMode="External" Type="http://schemas.openxmlformats.org/officeDocument/2006/relationships/hyperlink"/><Relationship Id="rId29" Target="https://portfoliomanager.energystar.gov/pm/glossary#MeterFirstLastBillDate" TargetMode="External" Type="http://schemas.openxmlformats.org/officeDocument/2006/relationships/hyperlink"/><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