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Bank Branch</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Bank Branch Uses</w:t>
            </w:r>
          </w:p>
        </w:tc>
      </w:tr>
      <w:tr>
        <w:trPr>
          <w:trHeight w:val="360"/>
        </w:trPr>
        <w:tc>
          <w:tcPr>
            <w:gridSpan w:val="2"/>
            <w:tcBorders>
              <w:top w:val="nil"/>
              <w:bottom w:val="nil"/>
            </w:tcBorders>
            <w:vAlign w:val="top"/>
          </w:tcPr>
          <w:p>
            <w:pPr>
              <w:spacing w:after="120" w:before="240" w:lineRule="auto" w:line="240"/>
            </w:pPr>
            <w:r>
              <w:rPr>
                <w:sz w:val="22"/>
              </w:rPr>
              <w:t>The following information is required to get an ENERGY STAR Score (</w:t>
            </w:r>
            <w:r>
              <w:rPr>
                <w:sz w:val="22"/>
              </w:rPr>
            </w:r>
            <w:hyperlink r:id="rId20">
              <w:r>
                <w:rPr>
                  <w:color w:val=""/>
                  <w:b w:val="true"/>
                  <w:sz w:val="22"/>
                  <w:u w:val="single"/>
                </w:rPr>
                <w:t>if eligible</w:t>
              </w:r>
            </w:hyperlink>
            <w:r>
              <w:rPr>
                <w:sz w:val="22"/>
              </w:rPr>
              <w:t>):</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Percent That Can Be Cooled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used to calculate a score; it may inform future analysis and score revisions by EPA and/or may help you manage and compare your properties:</w:t>
            </w:r>
          </w:p>
        </w:tc>
      </w:tr>
      <w:tr>
        <w:trPr>
          <w:trHeight w:val="360"/>
        </w:trPr>
        <w:tc>
          <w:tcPr>
            <w:tcW w:w="1500"/>
            <w:tcBorders>
              <w:top w:val="nil"/>
              <w:bottom w:val="single"/>
              <w:right w:val="nil"/>
            </w:tcBorders>
            <w:vAlign w:val="top"/>
          </w:tcPr>
          <w:p>
            <w:pPr>
              <w:spacing w:after="120" w:before="240" w:lineRule="auto" w:line="240"/>
            </w:pPr>
            <w:r>
              <w:rPr>
                <w:sz w:val="22"/>
              </w:rPr>
            </w:r>
            <w:hyperlink r:id="rId26">
              <w:r>
                <w:rPr>
                  <w:color w:val=""/>
                  <w:b w:val="true"/>
                  <w:sz w:val="22"/>
                  <w:u w:val="single"/>
                </w:rPr>
                <w:t>Percent That Can Be Heated</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Bank Branch</w:t>
      </w:r>
    </w:p>
    <w:p>
      <w:r>
        <w:rPr>
          <w:sz w:val="22"/>
        </w:rPr>
        <w:t>Bank Branch refers to a commercial banking outlet that offers banking services to walk-in customers.</w:t>
      </w:r>
    </w:p>
    <w:p>
      <w:r>
        <w:rPr>
          <w:sz w:val="22"/>
        </w:rPr>
        <w:t>Gross Floor Area should include all space within the building(s), including banking areas, vaults, lobbies, atriums, kitchens used by staff, restrooms, conference rooms, storage areas, stairways, and elevator shafts. Drive-thru windows should be included in the open parking lot, not partially enclosed parking.</w:t>
      </w:r>
    </w:p>
    <w:p>
      <w:r>
        <w:rPr>
          <w:sz w:val="26"/>
          <w:b w:val="on"/>
        </w:rPr>
        <w:br/>
        <w:t>Helpful Hints for Bank Branch</w:t>
      </w:r>
    </w:p>
    <w:p>
      <w:pPr>
        <w:pStyle w:val="ListParagraph"/>
        <w:numPr>
          <w:numId w:val="16"/>
        </w:numPr>
      </w:pPr>
      <w:r>
        <w:rPr>
          <w:sz w:val="22"/>
        </w:rPr>
        <w:t>When calculating Weekly Operating Hours, include only the hours the branch is open to the public.</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27">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28">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BankBranch" TargetMode="External" Type="http://schemas.openxmlformats.org/officeDocument/2006/relationships/hyperlink"/><Relationship Id="rId2" Target="numbering.xml" Type="http://schemas.openxmlformats.org/officeDocument/2006/relationships/numbering"/><Relationship Id="rId20" Target="http://www.energystar.gov/buildings/facility-owners-and-managers/existing-buildings/use-portfolio-manager/understand-metrics/eligibility" TargetMode="External" Type="http://schemas.openxmlformats.org/officeDocument/2006/relationships/hyperlink"/><Relationship Id="rId21" Target="https://portfoliomanager.energystar.gov/pm/glossary#GrossFloorArea" TargetMode="External" Type="http://schemas.openxmlformats.org/officeDocument/2006/relationships/hyperlink"/><Relationship Id="rId22" Target="https://portfoliomanager.energystar.gov/pm/glossary#WeeklyOperatingHours" TargetMode="External" Type="http://schemas.openxmlformats.org/officeDocument/2006/relationships/hyperlink"/><Relationship Id="rId23" Target="https://portfoliomanager.energystar.gov/pm/glossary#NumberOfWorkersOnMainShift" TargetMode="External" Type="http://schemas.openxmlformats.org/officeDocument/2006/relationships/hyperlink"/><Relationship Id="rId24" Target="https://portfoliomanager.energystar.gov/pm/glossary#NumberOfComputers" TargetMode="External" Type="http://schemas.openxmlformats.org/officeDocument/2006/relationships/hyperlink"/><Relationship Id="rId25" Target="https://portfoliomanager.energystar.gov/pm/glossary#PercentThatCanBeCooled" TargetMode="External" Type="http://schemas.openxmlformats.org/officeDocument/2006/relationships/hyperlink"/><Relationship Id="rId26" Target="https://portfoliomanager.energystar.gov/pm/glossary#PercentThatCanBeHeated" TargetMode="External" Type="http://schemas.openxmlformats.org/officeDocument/2006/relationships/hyperlink"/><Relationship Id="rId27" Target="https://portfoliomanager.energystar.gov/pm/glossary#MeterFirstLastBillDate" TargetMode="External" Type="http://schemas.openxmlformats.org/officeDocument/2006/relationships/hyperlink"/><Relationship Id="rId28" Target="https://portfoliomanager.energystar.gov/pm/glossary#MeterFirstLastBillDate" TargetMode="External" Type="http://schemas.openxmlformats.org/officeDocument/2006/relationships/hyperlink"/><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