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9C9FA" w14:textId="77777777" w:rsidR="00E91887" w:rsidRDefault="00BA0C1C">
      <w:pPr>
        <w:spacing w:after="0"/>
        <w:jc w:val="center"/>
      </w:pPr>
      <w:r>
        <w:rPr>
          <w:noProof/>
          <w:lang w:val="en-IN" w:eastAsia="en-IN"/>
        </w:rPr>
        <w:drawing>
          <wp:inline distT="0" distB="0" distL="0" distR="0" wp14:anchorId="494EE497" wp14:editId="72A460E6">
            <wp:extent cx="6903720" cy="914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pag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3C7C" w14:textId="77777777" w:rsidR="00E91887" w:rsidRDefault="00BA0C1C">
      <w:r>
        <w:br w:type="page"/>
      </w:r>
    </w:p>
    <w:p w14:paraId="6E4B3184" w14:textId="77777777" w:rsidR="00E91887" w:rsidRDefault="00BA0C1C">
      <w:pPr>
        <w:spacing w:after="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272654E9" wp14:editId="04944424">
            <wp:extent cx="6903720" cy="91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984D" w14:textId="77777777" w:rsidR="00E91887" w:rsidRDefault="00BA0C1C">
      <w:r>
        <w:br w:type="page"/>
      </w:r>
    </w:p>
    <w:p w14:paraId="4B5D153D" w14:textId="77777777" w:rsidR="00EF6FDE" w:rsidRPr="00EF6FDE" w:rsidRDefault="00EF6FDE">
      <w:pPr>
        <w:spacing w:before="100" w:after="40"/>
        <w:rPr>
          <w:b/>
          <w:color w:val="000000" w:themeColor="text1"/>
          <w:sz w:val="26"/>
        </w:rPr>
      </w:pPr>
      <w:proofErr w:type="gramStart"/>
      <w:r w:rsidRPr="00EF6FDE">
        <w:rPr>
          <w:b/>
          <w:color w:val="000000" w:themeColor="text1"/>
          <w:sz w:val="26"/>
        </w:rPr>
        <w:lastRenderedPageBreak/>
        <w:t>KAVIPRIYA .A</w:t>
      </w:r>
      <w:proofErr w:type="gramEnd"/>
      <w:r w:rsidRPr="00EF6FDE">
        <w:rPr>
          <w:b/>
          <w:color w:val="000000" w:themeColor="text1"/>
          <w:sz w:val="26"/>
        </w:rPr>
        <w:t xml:space="preserve"> </w:t>
      </w:r>
    </w:p>
    <w:p w14:paraId="293DF850" w14:textId="496BE5D6" w:rsidR="00EF6FDE" w:rsidRPr="00EF6FDE" w:rsidRDefault="00EF6FDE">
      <w:pPr>
        <w:spacing w:before="100" w:after="40"/>
        <w:rPr>
          <w:b/>
          <w:color w:val="000000" w:themeColor="text1"/>
          <w:sz w:val="26"/>
        </w:rPr>
      </w:pPr>
      <w:r w:rsidRPr="00EF6FDE">
        <w:rPr>
          <w:b/>
          <w:color w:val="000000" w:themeColor="text1"/>
          <w:sz w:val="26"/>
        </w:rPr>
        <w:t>192511201</w:t>
      </w:r>
    </w:p>
    <w:p w14:paraId="7A4F72CB" w14:textId="10ED5E3E" w:rsidR="00EF6FDE" w:rsidRPr="00EF6FDE" w:rsidRDefault="00BA0C1C">
      <w:pPr>
        <w:spacing w:before="100" w:after="40"/>
        <w:rPr>
          <w:rFonts w:ascii="Times New Roman" w:hAnsi="Times New Roman" w:cs="Times New Roman"/>
          <w:b/>
          <w:color w:val="000000" w:themeColor="text1"/>
          <w:sz w:val="26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1: Type-1 vs Type-2 Hypervisors</w:t>
      </w:r>
    </w:p>
    <w:p w14:paraId="547F708F" w14:textId="0FC579D1" w:rsidR="00E91887" w:rsidRP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1"/>
        </w:rPr>
        <w:t xml:space="preserve"> </w:t>
      </w:r>
      <w:r w:rsidR="00BA0C1C" w:rsidRPr="00EF6FDE">
        <w:rPr>
          <w:rFonts w:ascii="Times New Roman" w:hAnsi="Times New Roman" w:cs="Times New Roman"/>
          <w:color w:val="000000" w:themeColor="text1"/>
          <w:sz w:val="21"/>
        </w:rPr>
        <w:t>A hypervisor creates and manages virtual machines (VMs). Type-1 runs directly on physical hardware, while Type-2 runs on top of a host operating system.</w:t>
      </w:r>
    </w:p>
    <w:p w14:paraId="380DF7CA" w14:textId="77777777" w:rsidR="00E91887" w:rsidRPr="00EF6FDE" w:rsidRDefault="00BA0C1C" w:rsidP="00EF6FDE">
      <w:pPr>
        <w:pStyle w:val="ListBullet"/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Performance: Type-1 has less overhead and generally provides better performance for mission-critical workloads. Type-2 adds the host OS layer and may have more overhead.</w:t>
      </w:r>
    </w:p>
    <w:p w14:paraId="0AE7D20F" w14:textId="77777777" w:rsidR="00E91887" w:rsidRPr="00EF6FDE" w:rsidRDefault="00BA0C1C" w:rsidP="00EF6FDE">
      <w:pPr>
        <w:pStyle w:val="ListBullet"/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Security: Type-1 has a smaller software stack and fewer layers to attack. Type-2 depends on the security of both the host OS and hypervisor.</w:t>
      </w:r>
    </w:p>
    <w:p w14:paraId="7A723C79" w14:textId="77777777" w:rsidR="00E91887" w:rsidRPr="00EF6FDE" w:rsidRDefault="00BA0C1C" w:rsidP="00EF6FDE">
      <w:pPr>
        <w:pStyle w:val="ListBullet"/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Manageability: Type-1 platforms are designed for centralized datacenter management, monitoring, and high availability. Type-2 is convenient for desktop testing and development.</w:t>
      </w:r>
    </w:p>
    <w:p w14:paraId="0B86E28D" w14:textId="77777777" w:rsidR="00E91887" w:rsidRPr="00EF6FDE" w:rsidRDefault="00BA0C1C" w:rsidP="00EF6FDE">
      <w:pPr>
        <w:pStyle w:val="ListBullet"/>
        <w:numPr>
          <w:ilvl w:val="0"/>
          <w:numId w:val="10"/>
        </w:numPr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Justification: Choose a Type-1 hypervisor for a cloud datacenter because it offers stronger performance, isolation, and operational control.</w:t>
      </w:r>
    </w:p>
    <w:p w14:paraId="33E05E4E" w14:textId="25DF0365" w:rsidR="00EF6FDE" w:rsidRDefault="00EF6FDE" w:rsidP="00EF6FDE">
      <w:pPr>
        <w:pStyle w:val="ListBullet"/>
        <w:numPr>
          <w:ilvl w:val="0"/>
          <w:numId w:val="0"/>
        </w:numPr>
        <w:spacing w:after="4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14:paraId="379FD5A0" w14:textId="77777777" w:rsidR="00EF6FDE" w:rsidRDefault="00EF6FDE" w:rsidP="00EF6FDE">
      <w:pPr>
        <w:pStyle w:val="ListBullet"/>
        <w:numPr>
          <w:ilvl w:val="0"/>
          <w:numId w:val="0"/>
        </w:numPr>
        <w:spacing w:after="4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14:paraId="05E601F1" w14:textId="77777777" w:rsidR="00EF6FDE" w:rsidRPr="00EF6FDE" w:rsidRDefault="00EF6FDE" w:rsidP="00EF6FDE">
      <w:pPr>
        <w:pStyle w:val="ListBullet"/>
        <w:numPr>
          <w:ilvl w:val="0"/>
          <w:numId w:val="0"/>
        </w:numPr>
        <w:spacing w:after="40" w:line="24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50ADE09C" w14:textId="77777777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2: Workload Isolation and Attack Surfaces</w:t>
      </w:r>
    </w:p>
    <w:p w14:paraId="398EB303" w14:textId="60289413" w:rsidR="00E91887" w:rsidRPr="00EF6FDE" w:rsidRDefault="00BA0C1C">
      <w:pPr>
        <w:spacing w:after="80" w:line="252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 xml:space="preserve">Virtualization allows finance, healthcare, and student-portal workloads to run in separate VMs on the same physical </w:t>
      </w:r>
      <w:r w:rsidR="00EF6FDE">
        <w:rPr>
          <w:rFonts w:ascii="Times New Roman" w:hAnsi="Times New Roman" w:cs="Times New Roman"/>
          <w:color w:val="000000" w:themeColor="text1"/>
          <w:sz w:val="21"/>
        </w:rPr>
        <w:t xml:space="preserve">     </w:t>
      </w:r>
      <w:r w:rsidRPr="00EF6FDE">
        <w:rPr>
          <w:rFonts w:ascii="Times New Roman" w:hAnsi="Times New Roman" w:cs="Times New Roman"/>
          <w:color w:val="000000" w:themeColor="text1"/>
          <w:sz w:val="21"/>
        </w:rPr>
        <w:t>server.</w:t>
      </w:r>
    </w:p>
    <w:p w14:paraId="32765AF9" w14:textId="77777777" w:rsidR="00E91887" w:rsidRPr="00EF6FDE" w:rsidRDefault="00BA0C1C" w:rsidP="00EF6FDE">
      <w:pPr>
        <w:pStyle w:val="ListBullet"/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Isolation: The hypervisor separates VM memory, CPU scheduling, virtual devices, and storage. Virtual networks, access controls, encryption, and separate security policies add protection.</w:t>
      </w:r>
    </w:p>
    <w:p w14:paraId="018CD6FB" w14:textId="77777777" w:rsidR="00E91887" w:rsidRPr="00EF6FDE" w:rsidRDefault="00BA0C1C" w:rsidP="00EF6FDE">
      <w:pPr>
        <w:pStyle w:val="ListBullet"/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Attack surface 1 – Hypervisor: A vulnerability may allow a malicious VM to escape isolation and affect the host or other VMs.</w:t>
      </w:r>
    </w:p>
    <w:p w14:paraId="13200A77" w14:textId="77777777" w:rsidR="00E91887" w:rsidRPr="00EF6FDE" w:rsidRDefault="00BA0C1C" w:rsidP="00EF6FDE">
      <w:pPr>
        <w:pStyle w:val="ListBullet"/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Attack surface 2 – Virtual network/management plane: Misconfigured virtual switches, exposed management interfaces, or stolen administrator credentials may enable unauthorized access.</w:t>
      </w:r>
    </w:p>
    <w:p w14:paraId="4F3E424F" w14:textId="77777777" w:rsidR="00E91887" w:rsidRPr="00EF6FDE" w:rsidRDefault="00BA0C1C" w:rsidP="00EF6FDE">
      <w:pPr>
        <w:pStyle w:val="ListBullet"/>
        <w:spacing w:after="4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Controls: Patch the hypervisor, restrict management access, use MFA and least privilege, segment networks, monitor logs, and encrypt sensitive data.</w:t>
      </w:r>
    </w:p>
    <w:p w14:paraId="6A968F0A" w14:textId="77777777" w:rsidR="00EF6FDE" w:rsidRDefault="00EF6FDE" w:rsidP="00EF6FDE">
      <w:pPr>
        <w:pStyle w:val="ListBullet"/>
        <w:numPr>
          <w:ilvl w:val="0"/>
          <w:numId w:val="0"/>
        </w:numPr>
        <w:spacing w:after="4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14:paraId="1D4E21DA" w14:textId="77777777" w:rsidR="00EF6FDE" w:rsidRDefault="00EF6FDE" w:rsidP="00EF6FDE">
      <w:pPr>
        <w:pStyle w:val="ListBullet"/>
        <w:numPr>
          <w:ilvl w:val="0"/>
          <w:numId w:val="0"/>
        </w:numPr>
        <w:spacing w:after="4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1"/>
        </w:rPr>
      </w:pPr>
    </w:p>
    <w:p w14:paraId="061129BF" w14:textId="77777777" w:rsidR="00EF6FDE" w:rsidRPr="00EF6FDE" w:rsidRDefault="00EF6FDE" w:rsidP="00EF6FDE">
      <w:pPr>
        <w:pStyle w:val="ListBullet"/>
        <w:numPr>
          <w:ilvl w:val="0"/>
          <w:numId w:val="0"/>
        </w:numPr>
        <w:spacing w:after="4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</w:rPr>
      </w:pPr>
    </w:p>
    <w:p w14:paraId="7E741A9A" w14:textId="77777777" w:rsidR="00EF6FDE" w:rsidRDefault="00BA0C1C" w:rsidP="00EF6FDE">
      <w:pPr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3:</w:t>
      </w:r>
      <w:r w:rsidRPr="00EF6FDE">
        <w:rPr>
          <w:rFonts w:ascii="Times New Roman" w:hAnsi="Times New Roman" w:cs="Times New Roman"/>
          <w:b/>
          <w:color w:val="000000" w:themeColor="text1"/>
          <w:sz w:val="42"/>
        </w:rPr>
        <w:t xml:space="preserve"> </w:t>
      </w:r>
      <w:r w:rsidRPr="00EF6F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VM HOST UTILIZATION</w:t>
      </w:r>
    </w:p>
    <w:p w14:paraId="51111728" w14:textId="54E6B8E5" w:rsidR="00E91887" w:rsidRPr="00EF6FDE" w:rsidRDefault="00EF6FDE" w:rsidP="00EF6F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</w:t>
      </w:r>
      <w:r w:rsidR="00BA0C1C"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Given </w:t>
      </w:r>
      <w:proofErr w:type="gramStart"/>
      <w:r w:rsidR="00BA0C1C" w:rsidRPr="00EF6FDE">
        <w:rPr>
          <w:rFonts w:ascii="Times New Roman" w:hAnsi="Times New Roman" w:cs="Times New Roman"/>
          <w:b/>
          <w:color w:val="000000" w:themeColor="text1"/>
          <w:sz w:val="26"/>
        </w:rPr>
        <w:t>values</w:t>
      </w:r>
      <w:r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17B24CC6" w14:textId="0A2C441B" w:rsidR="00E91887" w:rsidRP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1"/>
        </w:rPr>
        <w:t xml:space="preserve">              </w:t>
      </w:r>
      <w:r w:rsidR="00BA0C1C" w:rsidRPr="00EF6FDE">
        <w:rPr>
          <w:rFonts w:ascii="Times New Roman" w:hAnsi="Times New Roman" w:cs="Times New Roman"/>
          <w:color w:val="000000" w:themeColor="text1"/>
          <w:sz w:val="21"/>
        </w:rPr>
        <w:t xml:space="preserve">CPU: 92% | Memory: 88% | Storage I/O latency: 35 </w:t>
      </w:r>
      <w:proofErr w:type="spellStart"/>
      <w:r w:rsidR="00BA0C1C" w:rsidRPr="00EF6FDE">
        <w:rPr>
          <w:rFonts w:ascii="Times New Roman" w:hAnsi="Times New Roman" w:cs="Times New Roman"/>
          <w:color w:val="000000" w:themeColor="text1"/>
          <w:sz w:val="21"/>
        </w:rPr>
        <w:t>ms</w:t>
      </w:r>
      <w:proofErr w:type="spellEnd"/>
      <w:r w:rsidR="00BA0C1C" w:rsidRPr="00EF6FDE">
        <w:rPr>
          <w:rFonts w:ascii="Times New Roman" w:hAnsi="Times New Roman" w:cs="Times New Roman"/>
          <w:color w:val="000000" w:themeColor="text1"/>
          <w:sz w:val="21"/>
        </w:rPr>
        <w:t xml:space="preserve"> | Average VM boot time: 170 s</w:t>
      </w:r>
    </w:p>
    <w:p w14:paraId="2E380958" w14:textId="452BFD93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Likely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bottlenecks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36CB3E66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CPU at 92%: Very high utilization may cause CPU contention and longer VM response times.</w:t>
      </w:r>
    </w:p>
    <w:p w14:paraId="2E25A932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Memory at 88%: Limited free memory may cause memory pressure, swapping, or ballooning, which can reduce performance.</w:t>
      </w:r>
    </w:p>
    <w:p w14:paraId="75D8AA58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 xml:space="preserve">Storage latency at 35 </w:t>
      </w:r>
      <w:proofErr w:type="spellStart"/>
      <w:r w:rsidRPr="00EF6FDE">
        <w:rPr>
          <w:rFonts w:ascii="Times New Roman" w:hAnsi="Times New Roman" w:cs="Times New Roman"/>
          <w:color w:val="000000" w:themeColor="text1"/>
          <w:sz w:val="21"/>
        </w:rPr>
        <w:t>ms</w:t>
      </w:r>
      <w:proofErr w:type="spellEnd"/>
      <w:r w:rsidRPr="00EF6FDE">
        <w:rPr>
          <w:rFonts w:ascii="Times New Roman" w:hAnsi="Times New Roman" w:cs="Times New Roman"/>
          <w:color w:val="000000" w:themeColor="text1"/>
          <w:sz w:val="21"/>
        </w:rPr>
        <w:t>: This is relatively high for many interactive workloads and may delay reads/writes, VM startup, and application operations.</w:t>
      </w:r>
    </w:p>
    <w:p w14:paraId="140BE13E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Boot time at 170 seconds: Slow startup may result from storage delays, CPU/memory contention, or too many VMs starting simultaneously.</w:t>
      </w:r>
    </w:p>
    <w:p w14:paraId="26CCB0F6" w14:textId="30DC39CD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Corrective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actions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15AD9201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Measure per-VM CPU use; right-size VMs, move workloads to less busy hosts, or add CPU capacity.</w:t>
      </w:r>
    </w:p>
    <w:p w14:paraId="3EC6F286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Review memory reservations and overcommitment; reclaim unused allocations or add RAM.</w:t>
      </w:r>
    </w:p>
    <w:p w14:paraId="7152E76D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Check disk queue depth, IOPS, storage-array health, and noisy-</w:t>
      </w:r>
      <w:proofErr w:type="spellStart"/>
      <w:r w:rsidRPr="00EF6FDE">
        <w:rPr>
          <w:rFonts w:ascii="Times New Roman" w:hAnsi="Times New Roman" w:cs="Times New Roman"/>
          <w:color w:val="000000" w:themeColor="text1"/>
          <w:sz w:val="21"/>
        </w:rPr>
        <w:t>neighbour</w:t>
      </w:r>
      <w:proofErr w:type="spellEnd"/>
      <w:r w:rsidRPr="00EF6FDE">
        <w:rPr>
          <w:rFonts w:ascii="Times New Roman" w:hAnsi="Times New Roman" w:cs="Times New Roman"/>
          <w:color w:val="000000" w:themeColor="text1"/>
          <w:sz w:val="21"/>
        </w:rPr>
        <w:t xml:space="preserve"> workloads; move critical VMs to faster storage if needed.</w:t>
      </w:r>
    </w:p>
    <w:p w14:paraId="14853E41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Stagger VM startup, use templates, and monitor performance before and after changes.</w:t>
      </w:r>
    </w:p>
    <w:p w14:paraId="56B20E9E" w14:textId="0BA22DD7" w:rsidR="00E91887" w:rsidRDefault="00BA0C1C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Conclusion: CPU and memory are highly utilized, while storage latency is a likely contributor to slow VM boot. Confirm the causes with host and storage monitoring before changing capacity.</w:t>
      </w:r>
      <w:r w:rsidR="00EF6FDE">
        <w:rPr>
          <w:rFonts w:ascii="Times New Roman" w:hAnsi="Times New Roman" w:cs="Times New Roman"/>
          <w:color w:val="000000" w:themeColor="text1"/>
          <w:sz w:val="21"/>
        </w:rPr>
        <w:br/>
      </w:r>
    </w:p>
    <w:p w14:paraId="160FF7DD" w14:textId="77777777" w:rsid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2EE3AD8E" w14:textId="77777777" w:rsid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7DA0AA69" w14:textId="77777777" w:rsid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4E05FA7E" w14:textId="77777777" w:rsid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607691C3" w14:textId="77777777" w:rsid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2FDE09C0" w14:textId="77777777" w:rsidR="00EF6FDE" w:rsidRP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</w:rPr>
      </w:pPr>
    </w:p>
    <w:p w14:paraId="07E7966C" w14:textId="77777777" w:rsidR="00E91887" w:rsidRPr="00EF6FDE" w:rsidRDefault="00BA0C1C" w:rsidP="00D2286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4: SOFTWARE-DEFINED DATACENTER</w:t>
      </w:r>
    </w:p>
    <w:p w14:paraId="5A826A99" w14:textId="77777777" w:rsidR="00E91887" w:rsidRPr="00EF6FDE" w:rsidRDefault="00BA0C1C">
      <w:pPr>
        <w:spacing w:after="80" w:line="252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A Software-Defined Datacenter (SDDC) uses software to pool and manage compute, storage, and networking resources. It improves agility compared with a traditional datacenter, where many changes require manual configuration of separate hardware.</w:t>
      </w:r>
    </w:p>
    <w:p w14:paraId="584066B8" w14:textId="5F99E93E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Compute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virtualization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39B17357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VMs can be created, resized, migrated, and recovered through software-based management.</w:t>
      </w:r>
    </w:p>
    <w:p w14:paraId="67A2A9EB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Automation and templates speed up provisioning and improve resource utilization.</w:t>
      </w:r>
    </w:p>
    <w:p w14:paraId="665D89FD" w14:textId="44C4F629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Storage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virtualization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2D83A526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Storage from multiple devices can be pooled and presented as logical storage.</w:t>
      </w:r>
    </w:p>
    <w:p w14:paraId="2E636E69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Policies can automate capacity allocation, replication, and performance tiers.</w:t>
      </w:r>
    </w:p>
    <w:p w14:paraId="378F7030" w14:textId="37A14BF7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Network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virtualization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14CFA434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Virtual switches, overlays, and software-defined policies enable rapid network creation and segmentation.</w:t>
      </w:r>
    </w:p>
    <w:p w14:paraId="7CDB0C4B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Workloads can be isolated consistently without repeatedly changing physical network hardware.</w:t>
      </w:r>
    </w:p>
    <w:p w14:paraId="7A739C4B" w14:textId="1A729A51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Overall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benefits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403FDD9C" w14:textId="77777777" w:rsidR="00E91887" w:rsidRDefault="00BA0C1C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Centralized orchestration, policy-based automation, faster deployment, scalability, consistent security controls, and easier disaster recovery improve agility. However, SDDC needs skilled administration, strong management-plane security, and monitoring to avoid configuration-wide failures.</w:t>
      </w:r>
    </w:p>
    <w:p w14:paraId="6A948158" w14:textId="77777777" w:rsid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64BE82FC" w14:textId="77777777" w:rsidR="00EF6FDE" w:rsidRPr="00EF6FDE" w:rsidRDefault="00EF6FDE">
      <w:pPr>
        <w:spacing w:after="80" w:line="252" w:lineRule="auto"/>
        <w:rPr>
          <w:rFonts w:ascii="Times New Roman" w:hAnsi="Times New Roman" w:cs="Times New Roman"/>
          <w:color w:val="000000" w:themeColor="text1"/>
        </w:rPr>
      </w:pPr>
    </w:p>
    <w:p w14:paraId="6D2586F5" w14:textId="77777777" w:rsidR="00E91887" w:rsidRPr="00EF6FDE" w:rsidRDefault="00BA0C1C" w:rsidP="00D2286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5: MULTI-CLOUD IDENTITY FEDERATION</w:t>
      </w:r>
    </w:p>
    <w:p w14:paraId="53B74450" w14:textId="77777777" w:rsidR="00E91887" w:rsidRPr="00EF6FDE" w:rsidRDefault="00BA0C1C">
      <w:pPr>
        <w:spacing w:after="80" w:line="252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Identity mismatches occur when cloud providers use different identity formats, user identifiers, roles, authentication methods, or trust policies. As a result, users may be denied access or receive excessive privileges.</w:t>
      </w:r>
    </w:p>
    <w:p w14:paraId="38C48CB3" w14:textId="42348AC5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Secure identity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design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67568E7C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Use a trusted identity provider (IdP) and federation standards such as SAML 2.0 or OpenID Connect (OIDC), where supported by the providers.</w:t>
      </w:r>
    </w:p>
    <w:p w14:paraId="7EA5149E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Map identities and attributes consistently across clouds; use stable unique identifiers and a documented role/claim mapping.</w:t>
      </w:r>
    </w:p>
    <w:p w14:paraId="1E14EEFB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Apply least privilege and role-based access control. Grant only the permissions required for each workload and review mappings regularly.</w:t>
      </w:r>
    </w:p>
    <w:p w14:paraId="2420D725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Use multi-factor authentication, short-lived tokens, secure signing keys, TLS, and regular key rotation.</w:t>
      </w:r>
    </w:p>
    <w:p w14:paraId="1AEA769E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Validate issuer, audience, signature, expiry, and requested permissions before accepting a federated assertion or token.</w:t>
      </w:r>
    </w:p>
    <w:p w14:paraId="2FD54C83" w14:textId="7C5BDFDE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Privacy and </w:t>
      </w: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monitoring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24E51183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Share only the minimum identity attributes needed; avoid sending unnecessary personal or health/financial information between providers.</w:t>
      </w:r>
    </w:p>
    <w:p w14:paraId="02DD92DB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Encrypt data in transit and at rest, define retention rules, and log federation events without exposing secrets or excess personal data.</w:t>
      </w:r>
    </w:p>
    <w:p w14:paraId="09577AE2" w14:textId="77777777" w:rsidR="00E91887" w:rsidRPr="00EF6FDE" w:rsidRDefault="00BA0C1C">
      <w:pPr>
        <w:pStyle w:val="ListBullet"/>
        <w:spacing w:after="40" w:line="240" w:lineRule="auto"/>
        <w:rPr>
          <w:rFonts w:ascii="Times New Roman" w:hAnsi="Times New Roman" w:cs="Times New Roman"/>
          <w:color w:val="000000" w:themeColor="text1"/>
        </w:rPr>
      </w:pPr>
      <w:r w:rsidRPr="00EF6FDE">
        <w:rPr>
          <w:rFonts w:ascii="Times New Roman" w:hAnsi="Times New Roman" w:cs="Times New Roman"/>
          <w:color w:val="000000" w:themeColor="text1"/>
          <w:sz w:val="21"/>
        </w:rPr>
        <w:t>Revoke sessions and credentials promptly when accounts are disabled; audit cross-cloud access and alert on unusual activity.</w:t>
      </w:r>
    </w:p>
    <w:p w14:paraId="7C11E0BB" w14:textId="30805776" w:rsidR="00E91887" w:rsidRPr="00EF6FDE" w:rsidRDefault="00BA0C1C">
      <w:pPr>
        <w:spacing w:before="100" w:after="40"/>
        <w:rPr>
          <w:rFonts w:ascii="Times New Roman" w:hAnsi="Times New Roman" w:cs="Times New Roman"/>
          <w:color w:val="000000" w:themeColor="text1"/>
        </w:rPr>
      </w:pPr>
      <w:proofErr w:type="gramStart"/>
      <w:r w:rsidRPr="00EF6FDE">
        <w:rPr>
          <w:rFonts w:ascii="Times New Roman" w:hAnsi="Times New Roman" w:cs="Times New Roman"/>
          <w:b/>
          <w:color w:val="000000" w:themeColor="text1"/>
          <w:sz w:val="26"/>
        </w:rPr>
        <w:t>Conclusion</w:t>
      </w:r>
      <w:r w:rsidR="00EF6FDE">
        <w:rPr>
          <w:rFonts w:ascii="Times New Roman" w:hAnsi="Times New Roman" w:cs="Times New Roman"/>
          <w:b/>
          <w:color w:val="000000" w:themeColor="text1"/>
          <w:sz w:val="26"/>
        </w:rPr>
        <w:t xml:space="preserve"> :</w:t>
      </w:r>
      <w:proofErr w:type="gramEnd"/>
    </w:p>
    <w:p w14:paraId="54E75258" w14:textId="77777777" w:rsidR="00E91887" w:rsidRDefault="00BA0C1C">
      <w:pPr>
        <w:spacing w:after="80" w:line="252" w:lineRule="auto"/>
      </w:pPr>
      <w:r w:rsidRPr="00EF6FDE">
        <w:rPr>
          <w:rFonts w:ascii="Times New Roman" w:hAnsi="Times New Roman" w:cs="Times New Roman"/>
          <w:color w:val="000000" w:themeColor="text1"/>
          <w:sz w:val="21"/>
        </w:rPr>
        <w:t>A common federation trust model with consistent identity mapping, strong authentication, least privilege, minimal attribute sharing, and continuous auditing can resolve mismatches while protecting</w:t>
      </w:r>
      <w:r w:rsidRPr="00EF6FDE">
        <w:rPr>
          <w:color w:val="000000" w:themeColor="text1"/>
          <w:sz w:val="21"/>
        </w:rPr>
        <w:t xml:space="preserve"> privacy.</w:t>
      </w:r>
    </w:p>
    <w:sectPr w:rsidR="00E91887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5891" w14:textId="77777777" w:rsidR="00A979FE" w:rsidRDefault="00A979FE">
      <w:pPr>
        <w:spacing w:after="0" w:line="240" w:lineRule="auto"/>
      </w:pPr>
      <w:r>
        <w:separator/>
      </w:r>
    </w:p>
  </w:endnote>
  <w:endnote w:type="continuationSeparator" w:id="0">
    <w:p w14:paraId="1E8561F8" w14:textId="77777777" w:rsidR="00A979FE" w:rsidRDefault="00A97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4D06E" w14:textId="77777777" w:rsidR="00A979FE" w:rsidRDefault="00A979FE">
      <w:pPr>
        <w:spacing w:after="0" w:line="240" w:lineRule="auto"/>
      </w:pPr>
      <w:r>
        <w:separator/>
      </w:r>
    </w:p>
  </w:footnote>
  <w:footnote w:type="continuationSeparator" w:id="0">
    <w:p w14:paraId="56D21773" w14:textId="77777777" w:rsidR="00A979FE" w:rsidRDefault="00A979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63747E"/>
    <w:multiLevelType w:val="hybridMultilevel"/>
    <w:tmpl w:val="CB7E14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276178">
    <w:abstractNumId w:val="8"/>
  </w:num>
  <w:num w:numId="2" w16cid:durableId="715468522">
    <w:abstractNumId w:val="6"/>
  </w:num>
  <w:num w:numId="3" w16cid:durableId="2032756988">
    <w:abstractNumId w:val="5"/>
  </w:num>
  <w:num w:numId="4" w16cid:durableId="1216165790">
    <w:abstractNumId w:val="4"/>
  </w:num>
  <w:num w:numId="5" w16cid:durableId="1085951861">
    <w:abstractNumId w:val="7"/>
  </w:num>
  <w:num w:numId="6" w16cid:durableId="1301307755">
    <w:abstractNumId w:val="3"/>
  </w:num>
  <w:num w:numId="7" w16cid:durableId="2033220253">
    <w:abstractNumId w:val="2"/>
  </w:num>
  <w:num w:numId="8" w16cid:durableId="1253974492">
    <w:abstractNumId w:val="1"/>
  </w:num>
  <w:num w:numId="9" w16cid:durableId="1180120271">
    <w:abstractNumId w:val="0"/>
  </w:num>
  <w:num w:numId="10" w16cid:durableId="155613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A83"/>
    <w:rsid w:val="00940456"/>
    <w:rsid w:val="00A979FE"/>
    <w:rsid w:val="00AA1D8D"/>
    <w:rsid w:val="00B47730"/>
    <w:rsid w:val="00BA0C1C"/>
    <w:rsid w:val="00CB0664"/>
    <w:rsid w:val="00D2286D"/>
    <w:rsid w:val="00E91887"/>
    <w:rsid w:val="00EF6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193B6"/>
  <w14:defaultImageDpi w14:val="300"/>
  <w15:docId w15:val="{0ABB728E-18CA-4199-82FC-3E0645D1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70EF4E-19C7-4262-9CC1-A9BDBD81C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Kavipriya Adhinarayanan</cp:lastModifiedBy>
  <cp:revision>2</cp:revision>
  <dcterms:created xsi:type="dcterms:W3CDTF">2026-10-27T07:44:00Z</dcterms:created>
  <dcterms:modified xsi:type="dcterms:W3CDTF">2026-10-27T07:44:00Z</dcterms:modified>
  <cp:category/>
</cp:coreProperties>
</file>