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3C86" w14:textId="77777777" w:rsidR="004F1F45" w:rsidRPr="00324093" w:rsidRDefault="00000000" w:rsidP="00324093">
      <w:pPr>
        <w:pStyle w:val="Heading1"/>
        <w:jc w:val="center"/>
        <w:rPr>
          <w:color w:val="244061" w:themeColor="accent1" w:themeShade="80"/>
        </w:rPr>
      </w:pPr>
      <w:r w:rsidRPr="00324093">
        <w:rPr>
          <w:color w:val="244061" w:themeColor="accent1" w:themeShade="80"/>
        </w:rPr>
        <w:t>Sales Analysis – Key Insights</w:t>
      </w:r>
    </w:p>
    <w:p w14:paraId="62FA99A0" w14:textId="77777777" w:rsidR="004F1F45" w:rsidRDefault="00000000">
      <w:r>
        <w:t>1. Technology category contributes the highest total sales, making it the primary revenue driver.</w:t>
      </w:r>
    </w:p>
    <w:p w14:paraId="42E46AC3" w14:textId="77777777" w:rsidR="004F1F45" w:rsidRDefault="00000000">
      <w:r>
        <w:t>2. West region consistently outperforms other regions across customer segments.</w:t>
      </w:r>
    </w:p>
    <w:p w14:paraId="4FE09A4C" w14:textId="77777777" w:rsidR="004F1F45" w:rsidRDefault="00000000">
      <w:r>
        <w:t>3. Corporate segment shows higher average profit margins compared to Consumer.</w:t>
      </w:r>
    </w:p>
    <w:p w14:paraId="768C3F2E" w14:textId="77777777" w:rsidR="004F1F45" w:rsidRDefault="00000000">
      <w:r>
        <w:t>4. Furniture category has lower profit margins despite reasonable sales.</w:t>
      </w:r>
    </w:p>
    <w:p w14:paraId="7D60C54A" w14:textId="77777777" w:rsidR="004F1F45" w:rsidRDefault="00000000">
      <w:r>
        <w:t>5. South region underperforms in sales and profitability, indicating growth opportunities.</w:t>
      </w:r>
    </w:p>
    <w:sectPr w:rsidR="004F1F45" w:rsidSect="00324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150117">
    <w:abstractNumId w:val="8"/>
  </w:num>
  <w:num w:numId="2" w16cid:durableId="549196066">
    <w:abstractNumId w:val="6"/>
  </w:num>
  <w:num w:numId="3" w16cid:durableId="1990674161">
    <w:abstractNumId w:val="5"/>
  </w:num>
  <w:num w:numId="4" w16cid:durableId="517550319">
    <w:abstractNumId w:val="4"/>
  </w:num>
  <w:num w:numId="5" w16cid:durableId="209651493">
    <w:abstractNumId w:val="7"/>
  </w:num>
  <w:num w:numId="6" w16cid:durableId="1746879796">
    <w:abstractNumId w:val="3"/>
  </w:num>
  <w:num w:numId="7" w16cid:durableId="1863933463">
    <w:abstractNumId w:val="2"/>
  </w:num>
  <w:num w:numId="8" w16cid:durableId="747465475">
    <w:abstractNumId w:val="1"/>
  </w:num>
  <w:num w:numId="9" w16cid:durableId="186019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093"/>
    <w:rsid w:val="00326F90"/>
    <w:rsid w:val="004F1F45"/>
    <w:rsid w:val="00AA1D8D"/>
    <w:rsid w:val="00B47730"/>
    <w:rsid w:val="00CB0664"/>
    <w:rsid w:val="00CD40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FA2B6"/>
  <w14:defaultImageDpi w14:val="300"/>
  <w15:docId w15:val="{F974DDD2-8330-4BBF-8713-704896E3E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kavirethna poovaragavan</cp:lastModifiedBy>
  <cp:revision>2</cp:revision>
  <dcterms:created xsi:type="dcterms:W3CDTF">2026-01-16T15:12:00Z</dcterms:created>
  <dcterms:modified xsi:type="dcterms:W3CDTF">2026-01-16T15:12:00Z</dcterms:modified>
  <cp:category/>
</cp:coreProperties>
</file>