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0" w:line="264" w:lineRule="auto"/>
      </w:pPr>
      <w:r>
        <w:rPr>
          <w:rFonts w:ascii="Aptos" w:hAnsi="Aptos"/>
          <w:b w:val="0"/>
          <w:i w:val="0"/>
          <w:color w:val="202421"/>
          <w:sz w:val="21"/>
        </w:rPr>
      </w:r>
    </w:p>
    <w:p>
      <w:pPr>
        <w:keepNext w:val="0"/>
        <w:spacing w:before="0" w:after="800" w:line="264" w:lineRule="auto"/>
      </w:pPr>
      <w:r>
        <w:rPr>
          <w:rFonts w:ascii="Aptos" w:hAnsi="Aptos"/>
          <w:b/>
          <w:i w:val="0"/>
          <w:color w:val="08783E"/>
          <w:sz w:val="22"/>
        </w:rPr>
        <w:t>CARPENTERS FIJI PTE LIMITED</w:t>
      </w:r>
    </w:p>
    <w:p>
      <w:pPr>
        <w:keepNext w:val="0"/>
        <w:spacing w:before="0" w:after="160" w:line="264" w:lineRule="auto"/>
      </w:pPr>
      <w:r>
        <w:rPr>
          <w:rFonts w:ascii="Aptos" w:hAnsi="Aptos"/>
          <w:b/>
          <w:i w:val="0"/>
          <w:color w:val="151515"/>
          <w:sz w:val="56"/>
        </w:rPr>
        <w:t>MID-TERM REVIEW</w:t>
      </w:r>
    </w:p>
    <w:p>
      <w:pPr>
        <w:keepNext w:val="0"/>
        <w:spacing w:before="0" w:after="240" w:line="264" w:lineRule="auto"/>
      </w:pPr>
      <w:r>
        <w:rPr>
          <w:rFonts w:ascii="Aptos" w:hAnsi="Aptos"/>
          <w:b/>
          <w:i w:val="0"/>
          <w:color w:val="151515"/>
          <w:sz w:val="56"/>
        </w:rPr>
        <w:t>REPORT</w:t>
      </w:r>
    </w:p>
    <w:p>
      <w:pPr>
        <w:keepNext w:val="0"/>
        <w:spacing w:before="0" w:after="560" w:line="264" w:lineRule="auto"/>
      </w:pPr>
      <w:r>
        <w:rPr>
          <w:rFonts w:ascii="Aptos" w:hAnsi="Aptos"/>
          <w:b/>
          <w:i w:val="0"/>
          <w:color w:val="08783E"/>
          <w:sz w:val="32"/>
        </w:rPr>
        <w:t>Car Rental and Equipment Management System (CREMS)</w:t>
      </w:r>
    </w:p>
    <w:p>
      <w:pPr>
        <w:spacing w:before="80" w:after="160" w:line="264" w:lineRule="auto"/>
        <w:ind w:left="115" w:right="115"/>
        <w:shd w:fill="FFF9CC"/>
        <w:pBdr>
          <w:top w:val="single" w:sz="4" w:color="FFF9CC" w:space="5"/>
          <w:left w:val="single" w:sz="4" w:color="FFF9CC" w:space="5"/>
          <w:bottom w:val="single" w:sz="4" w:color="FFF9CC" w:space="5"/>
          <w:right w:val="single" w:sz="4" w:color="FFF9CC" w:space="5"/>
        </w:pBdr>
      </w:pPr>
      <w:r>
        <w:rPr>
          <w:rFonts w:ascii="Aptos" w:hAnsi="Aptos"/>
          <w:b/>
          <w:color w:val="151515"/>
          <w:sz w:val="20"/>
        </w:rPr>
        <w:t xml:space="preserve">Document purpose: </w:t>
      </w:r>
      <w:r>
        <w:rPr>
          <w:rFonts w:ascii="Aptos" w:hAnsi="Aptos"/>
          <w:color w:val="151515"/>
          <w:sz w:val="20"/>
        </w:rPr>
        <w:t>This mid-term review reports on the progress of the CREMS project, including the requirements baseline, system architecture, project plan updates, risk assessment, and timeline for remaining deliverables.</w:t>
      </w:r>
    </w:p>
    <w:p>
      <w:pPr>
        <w:keepNext w:val="0"/>
        <w:spacing w:before="0" w:after="440" w:line="264" w:lineRule="auto"/>
      </w:pPr>
      <w:r>
        <w:rPr>
          <w:rFonts w:ascii="Aptos" w:hAnsi="Aptos"/>
          <w:b w:val="0"/>
          <w:i w:val="0"/>
          <w:color w:val="202421"/>
          <w:sz w:val="21"/>
        </w:rPr>
      </w:r>
    </w:p>
    <w:tbl>
      <w:tblPr>
        <w:tblStyle w:val="TableGrid"/>
        <w:tblW w:type="dxa" w:w="9360"/>
        <w:tblLayout w:type="fixed"/>
        <w:tblLook w:firstColumn="1" w:firstRow="1" w:lastColumn="0" w:lastRow="0" w:noHBand="0" w:noVBand="1" w:val="04A0"/>
        <w:tblInd w:w="120" w:type="dxa"/>
      </w:tblPr>
      <w:tblGrid>
        <w:gridCol w:w="2376"/>
        <w:gridCol w:w="6983"/>
      </w:tblGrid>
      <w:tr>
        <w:trPr>
          <w:tblHeader w:val="true"/>
        </w:trPr>
        <w:tc>
          <w:tcPr>
            <w:tcW w:type="dxa" w:w="237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Document control</w:t>
            </w:r>
          </w:p>
        </w:tc>
        <w:tc>
          <w:tcPr>
            <w:tcW w:type="dxa" w:w="6983"/>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Value</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Client</w:t>
            </w:r>
          </w:p>
        </w:tc>
        <w:tc>
          <w:tcPr>
            <w:tcW w:type="dxa" w:w="6983"/>
            <w:vAlign w:val="center"/>
            <w:tcMar>
              <w:top w:w="90" w:type="dxa"/>
              <w:bottom w:w="90" w:type="dxa"/>
              <w:start w:w="120" w:type="dxa"/>
              <w:end w:w="120" w:type="dxa"/>
            </w:tcMar>
          </w:tcPr>
          <w:p>
            <w:pPr>
              <w:spacing w:before="0" w:after="0" w:line="252" w:lineRule="auto"/>
            </w:pPr>
            <w:r/>
            <w:r>
              <w:rPr>
                <w:rFonts w:ascii="Aptos" w:hAnsi="Aptos"/>
                <w:b w:val="0"/>
                <w:color w:val="202421"/>
                <w:sz w:val="19"/>
              </w:rPr>
              <w:t>Carpenters Fiji Pte Limited</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Project</w:t>
            </w:r>
          </w:p>
        </w:tc>
        <w:tc>
          <w:tcPr>
            <w:tcW w:type="dxa" w:w="698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Car Rental and Equipment Management System (CREMS)</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Course</w:t>
            </w:r>
          </w:p>
        </w:tc>
        <w:tc>
          <w:tcPr>
            <w:tcW w:type="dxa" w:w="6983"/>
            <w:vAlign w:val="center"/>
            <w:tcMar>
              <w:top w:w="90" w:type="dxa"/>
              <w:bottom w:w="90" w:type="dxa"/>
              <w:start w:w="120" w:type="dxa"/>
              <w:end w:w="120" w:type="dxa"/>
            </w:tcMar>
          </w:tcPr>
          <w:p>
            <w:pPr>
              <w:spacing w:before="0" w:after="0" w:line="252" w:lineRule="auto"/>
            </w:pPr>
            <w:r/>
            <w:r>
              <w:rPr>
                <w:rFonts w:ascii="Aptos" w:hAnsi="Aptos"/>
                <w:b w:val="0"/>
                <w:color w:val="202421"/>
                <w:sz w:val="19"/>
              </w:rPr>
              <w:t>CS400 Industry Experience Project - S2 2026</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Group number</w:t>
            </w:r>
          </w:p>
        </w:tc>
        <w:tc>
          <w:tcPr>
            <w:tcW w:type="dxa" w:w="698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10</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Academic supervisor</w:t>
            </w:r>
          </w:p>
        </w:tc>
        <w:tc>
          <w:tcPr>
            <w:tcW w:type="dxa" w:w="6983"/>
            <w:vAlign w:val="center"/>
            <w:tcMar>
              <w:top w:w="90" w:type="dxa"/>
              <w:bottom w:w="90" w:type="dxa"/>
              <w:start w:w="120" w:type="dxa"/>
              <w:end w:w="120" w:type="dxa"/>
            </w:tcMar>
          </w:tcPr>
          <w:p>
            <w:pPr>
              <w:spacing w:before="0" w:after="0" w:line="252" w:lineRule="auto"/>
            </w:pPr>
            <w:r/>
            <w:r>
              <w:rPr>
                <w:rFonts w:ascii="Aptos" w:hAnsi="Aptos"/>
                <w:b w:val="0"/>
                <w:color w:val="202421"/>
                <w:sz w:val="19"/>
              </w:rPr>
              <w:t>Dr Ravneil Nand</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Client supervisor</w:t>
            </w:r>
          </w:p>
        </w:tc>
        <w:tc>
          <w:tcPr>
            <w:tcW w:type="dxa" w:w="698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Amit Kumar</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Co-supervisor</w:t>
            </w:r>
          </w:p>
        </w:tc>
        <w:tc>
          <w:tcPr>
            <w:tcW w:type="dxa" w:w="6983"/>
            <w:vAlign w:val="center"/>
            <w:tcMar>
              <w:top w:w="90" w:type="dxa"/>
              <w:bottom w:w="90" w:type="dxa"/>
              <w:start w:w="120" w:type="dxa"/>
              <w:end w:w="120" w:type="dxa"/>
            </w:tcMar>
          </w:tcPr>
          <w:p>
            <w:pPr>
              <w:spacing w:before="0" w:after="0" w:line="252" w:lineRule="auto"/>
            </w:pPr>
            <w:r/>
            <w:r>
              <w:rPr>
                <w:rFonts w:ascii="Aptos" w:hAnsi="Aptos"/>
                <w:b w:val="0"/>
                <w:color w:val="202421"/>
                <w:sz w:val="19"/>
              </w:rPr>
              <w:t>Shanil Naidu</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Version</w:t>
            </w:r>
          </w:p>
        </w:tc>
        <w:tc>
          <w:tcPr>
            <w:tcW w:type="dxa" w:w="698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1.0 - Mid-Term Review</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Document date</w:t>
            </w:r>
          </w:p>
        </w:tc>
        <w:tc>
          <w:tcPr>
            <w:tcW w:type="dxa" w:w="6983"/>
            <w:vAlign w:val="center"/>
            <w:tcMar>
              <w:top w:w="90" w:type="dxa"/>
              <w:bottom w:w="90" w:type="dxa"/>
              <w:start w:w="120" w:type="dxa"/>
              <w:end w:w="120" w:type="dxa"/>
            </w:tcMar>
          </w:tcPr>
          <w:p>
            <w:pPr>
              <w:spacing w:before="0" w:after="0" w:line="252" w:lineRule="auto"/>
            </w:pPr>
            <w:r/>
            <w:r>
              <w:rPr>
                <w:rFonts w:ascii="Aptos" w:hAnsi="Aptos"/>
                <w:b w:val="0"/>
                <w:color w:val="202421"/>
                <w:sz w:val="19"/>
              </w:rPr>
              <w:t>1 September 2026</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Classification</w:t>
            </w:r>
          </w:p>
        </w:tc>
        <w:tc>
          <w:tcPr>
            <w:tcW w:type="dxa" w:w="698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Client confidential - project use</w:t>
            </w:r>
          </w:p>
        </w:tc>
      </w:tr>
    </w:tbl>
    <w:p>
      <w:pPr>
        <w:spacing w:after="0"/>
      </w:pPr>
    </w:p>
    <w:p>
      <w:pPr>
        <w:keepNext w:val="0"/>
        <w:spacing w:before="0" w:after="240" w:line="264" w:lineRule="auto"/>
      </w:pPr>
      <w:r>
        <w:rPr>
          <w:rFonts w:ascii="Aptos" w:hAnsi="Aptos"/>
          <w:b w:val="0"/>
          <w:i w:val="0"/>
          <w:color w:val="202421"/>
          <w:sz w:val="21"/>
        </w:rPr>
      </w:r>
    </w:p>
    <w:p>
      <w:pPr>
        <w:keepNext w:val="0"/>
        <w:spacing w:before="0" w:after="160" w:line="264" w:lineRule="auto"/>
      </w:pPr>
      <w:r>
        <w:rPr>
          <w:rFonts w:ascii="Aptos" w:hAnsi="Aptos"/>
          <w:b/>
          <w:i w:val="0"/>
          <w:color w:val="08783E"/>
          <w:sz w:val="24"/>
        </w:rPr>
        <w:t>TEAM MEMBERS</w:t>
      </w:r>
    </w:p>
    <w:tbl>
      <w:tblPr>
        <w:tblStyle w:val="TableGrid"/>
        <w:tblW w:type="dxa" w:w="9360"/>
        <w:tblLayout w:type="fixed"/>
        <w:tblLook w:firstColumn="1" w:firstRow="1" w:lastColumn="0" w:lastRow="0" w:noHBand="0" w:noVBand="1" w:val="04A0"/>
        <w:tblInd w:w="120" w:type="dxa"/>
      </w:tblPr>
      <w:tblGrid>
        <w:gridCol w:w="3900"/>
        <w:gridCol w:w="2340"/>
        <w:gridCol w:w="3120"/>
      </w:tblGrid>
      <w:tr>
        <w:trPr>
          <w:tblHeader w:val="true"/>
        </w:trPr>
        <w:tc>
          <w:tcPr>
            <w:tcW w:type="dxa" w:w="390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Name</w:t>
            </w:r>
          </w:p>
        </w:tc>
        <w:tc>
          <w:tcPr>
            <w:tcW w:type="dxa" w:w="234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Student ID</w:t>
            </w:r>
          </w:p>
        </w:tc>
        <w:tc>
          <w:tcPr>
            <w:tcW w:type="dxa" w:w="312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Role</w:t>
            </w:r>
          </w:p>
        </w:tc>
      </w:tr>
      <w:tr>
        <w:trPr>
          <w:cantSplit/>
        </w:trPr>
        <w:tc>
          <w:tcPr>
            <w:tcW w:type="dxa" w:w="3900"/>
            <w:vAlign w:val="center"/>
            <w:tcMar>
              <w:top w:w="90" w:type="dxa"/>
              <w:bottom w:w="90" w:type="dxa"/>
              <w:start w:w="120" w:type="dxa"/>
              <w:end w:w="120" w:type="dxa"/>
            </w:tcMar>
          </w:tcPr>
          <w:p>
            <w:pPr>
              <w:spacing w:before="0" w:after="0" w:line="252" w:lineRule="auto"/>
            </w:pPr>
            <w:r/>
            <w:r>
              <w:rPr>
                <w:rFonts w:ascii="Aptos" w:hAnsi="Aptos"/>
                <w:b w:val="0"/>
                <w:color w:val="202421"/>
                <w:sz w:val="19"/>
              </w:rPr>
              <w:t>Kavish Chandra</w:t>
            </w:r>
          </w:p>
        </w:tc>
        <w:tc>
          <w:tcPr>
            <w:tcW w:type="dxa" w:w="2340"/>
            <w:vAlign w:val="center"/>
            <w:tcMar>
              <w:top w:w="90" w:type="dxa"/>
              <w:bottom w:w="90" w:type="dxa"/>
              <w:start w:w="120" w:type="dxa"/>
              <w:end w:w="120" w:type="dxa"/>
            </w:tcMar>
          </w:tcPr>
          <w:p>
            <w:pPr>
              <w:spacing w:before="0" w:after="0" w:line="252" w:lineRule="auto"/>
            </w:pPr>
            <w:r/>
            <w:r>
              <w:rPr>
                <w:rFonts w:ascii="Aptos" w:hAnsi="Aptos"/>
                <w:b w:val="0"/>
                <w:color w:val="202421"/>
                <w:sz w:val="19"/>
              </w:rPr>
              <w:t>S11219143</w:t>
            </w:r>
          </w:p>
        </w:tc>
        <w:tc>
          <w:tcPr>
            <w:tcW w:type="dxa" w:w="3120"/>
            <w:vAlign w:val="center"/>
            <w:tcMar>
              <w:top w:w="90" w:type="dxa"/>
              <w:bottom w:w="90" w:type="dxa"/>
              <w:start w:w="120" w:type="dxa"/>
              <w:end w:w="120" w:type="dxa"/>
            </w:tcMar>
          </w:tcPr>
          <w:p>
            <w:pPr>
              <w:spacing w:before="0" w:after="0" w:line="252" w:lineRule="auto"/>
            </w:pPr>
            <w:r/>
            <w:r>
              <w:rPr>
                <w:rFonts w:ascii="Aptos" w:hAnsi="Aptos"/>
                <w:b w:val="0"/>
                <w:color w:val="202421"/>
                <w:sz w:val="19"/>
              </w:rPr>
              <w:t>Project Leader / Client Liaison</w:t>
            </w:r>
          </w:p>
        </w:tc>
      </w:tr>
      <w:tr>
        <w:trPr>
          <w:cantSplit/>
        </w:trPr>
        <w:tc>
          <w:tcPr>
            <w:tcW w:type="dxa" w:w="390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Shoneel Kumar</w:t>
            </w:r>
          </w:p>
        </w:tc>
        <w:tc>
          <w:tcPr>
            <w:tcW w:type="dxa" w:w="23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S11219651</w:t>
            </w:r>
          </w:p>
        </w:tc>
        <w:tc>
          <w:tcPr>
            <w:tcW w:type="dxa" w:w="31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Backend and Data Lead</w:t>
            </w:r>
          </w:p>
        </w:tc>
      </w:tr>
      <w:tr>
        <w:trPr>
          <w:cantSplit/>
        </w:trPr>
        <w:tc>
          <w:tcPr>
            <w:tcW w:type="dxa" w:w="3900"/>
            <w:vAlign w:val="center"/>
            <w:tcMar>
              <w:top w:w="90" w:type="dxa"/>
              <w:bottom w:w="90" w:type="dxa"/>
              <w:start w:w="120" w:type="dxa"/>
              <w:end w:w="120" w:type="dxa"/>
            </w:tcMar>
          </w:tcPr>
          <w:p>
            <w:pPr>
              <w:spacing w:before="0" w:after="0" w:line="252" w:lineRule="auto"/>
            </w:pPr>
            <w:r/>
            <w:r>
              <w:rPr>
                <w:rFonts w:ascii="Aptos" w:hAnsi="Aptos"/>
                <w:b w:val="0"/>
                <w:color w:val="202421"/>
                <w:sz w:val="19"/>
              </w:rPr>
              <w:t>Sudhansu Kisun</w:t>
            </w:r>
          </w:p>
        </w:tc>
        <w:tc>
          <w:tcPr>
            <w:tcW w:type="dxa" w:w="2340"/>
            <w:vAlign w:val="center"/>
            <w:tcMar>
              <w:top w:w="90" w:type="dxa"/>
              <w:bottom w:w="90" w:type="dxa"/>
              <w:start w:w="120" w:type="dxa"/>
              <w:end w:w="120" w:type="dxa"/>
            </w:tcMar>
          </w:tcPr>
          <w:p>
            <w:pPr>
              <w:spacing w:before="0" w:after="0" w:line="252" w:lineRule="auto"/>
            </w:pPr>
            <w:r/>
            <w:r>
              <w:rPr>
                <w:rFonts w:ascii="Aptos" w:hAnsi="Aptos"/>
                <w:b w:val="0"/>
                <w:color w:val="202421"/>
                <w:sz w:val="19"/>
              </w:rPr>
              <w:t>S11219520</w:t>
            </w:r>
          </w:p>
        </w:tc>
        <w:tc>
          <w:tcPr>
            <w:tcW w:type="dxa" w:w="3120"/>
            <w:vAlign w:val="center"/>
            <w:tcMar>
              <w:top w:w="90" w:type="dxa"/>
              <w:bottom w:w="90" w:type="dxa"/>
              <w:start w:w="120" w:type="dxa"/>
              <w:end w:w="120" w:type="dxa"/>
            </w:tcMar>
          </w:tcPr>
          <w:p>
            <w:pPr>
              <w:spacing w:before="0" w:after="0" w:line="252" w:lineRule="auto"/>
            </w:pPr>
            <w:r/>
            <w:r>
              <w:rPr>
                <w:rFonts w:ascii="Aptos" w:hAnsi="Aptos"/>
                <w:b w:val="0"/>
                <w:color w:val="202421"/>
                <w:sz w:val="19"/>
              </w:rPr>
              <w:t>Frontend and UX Lead</w:t>
            </w:r>
          </w:p>
        </w:tc>
      </w:tr>
      <w:tr>
        <w:trPr>
          <w:cantSplit/>
        </w:trPr>
        <w:tc>
          <w:tcPr>
            <w:tcW w:type="dxa" w:w="390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Rahul Chand</w:t>
            </w:r>
          </w:p>
        </w:tc>
        <w:tc>
          <w:tcPr>
            <w:tcW w:type="dxa" w:w="23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S11219885</w:t>
            </w:r>
          </w:p>
        </w:tc>
        <w:tc>
          <w:tcPr>
            <w:tcW w:type="dxa" w:w="31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Quality and DevOps Lead</w:t>
            </w:r>
          </w:p>
        </w:tc>
      </w:tr>
    </w:tbl>
    <w:p>
      <w:pPr>
        <w:spacing w:after="0"/>
      </w:pPr>
    </w:p>
    <w:p>
      <w:r>
        <w:br w:type="page"/>
      </w:r>
    </w:p>
    <w:p>
      <w:pPr>
        <w:pStyle w:val="Heading1"/>
      </w:pPr>
      <w:r>
        <w:t>Contents</w:t>
      </w:r>
    </w:p>
    <w:p>
      <w:pPr>
        <w:spacing w:after="20" w:line="240" w:lineRule="auto"/>
        <w:ind w:left="173"/>
      </w:pPr>
      <w:r>
        <w:rPr>
          <w:rFonts w:ascii="Aptos" w:hAnsi="Aptos"/>
          <w:b/>
          <w:color w:val="08783E"/>
          <w:sz w:val="18"/>
        </w:rPr>
        <w:t>1. Introduction</w:t>
      </w:r>
    </w:p>
    <w:p>
      <w:pPr>
        <w:spacing w:after="20" w:line="240" w:lineRule="auto"/>
        <w:ind w:left="173"/>
      </w:pPr>
      <w:r>
        <w:rPr>
          <w:rFonts w:ascii="Aptos" w:hAnsi="Aptos"/>
          <w:b/>
          <w:color w:val="08783E"/>
          <w:sz w:val="18"/>
        </w:rPr>
        <w:t>2. Requirements Document (SRS)</w:t>
      </w:r>
    </w:p>
    <w:p>
      <w:pPr>
        <w:spacing w:after="20" w:line="240" w:lineRule="auto"/>
        <w:ind w:left="173"/>
      </w:pPr>
      <w:r>
        <w:rPr>
          <w:rFonts w:ascii="Aptos" w:hAnsi="Aptos"/>
          <w:b/>
          <w:color w:val="08783E"/>
          <w:sz w:val="18"/>
        </w:rPr>
        <w:t>3. System Architecture and Design</w:t>
      </w:r>
    </w:p>
    <w:p>
      <w:pPr>
        <w:spacing w:after="20" w:line="240" w:lineRule="auto"/>
        <w:ind w:left="173"/>
      </w:pPr>
      <w:r>
        <w:rPr>
          <w:rFonts w:ascii="Aptos" w:hAnsi="Aptos"/>
          <w:b/>
          <w:color w:val="08783E"/>
          <w:sz w:val="18"/>
        </w:rPr>
        <w:t>4. Project Plan Updates</w:t>
      </w:r>
    </w:p>
    <w:p>
      <w:pPr>
        <w:spacing w:after="20" w:line="240" w:lineRule="auto"/>
        <w:ind w:left="173"/>
      </w:pPr>
      <w:r>
        <w:rPr>
          <w:rFonts w:ascii="Aptos" w:hAnsi="Aptos"/>
          <w:b/>
          <w:color w:val="08783E"/>
          <w:sz w:val="18"/>
        </w:rPr>
        <w:t>5. Milestones Achieved</w:t>
      </w:r>
    </w:p>
    <w:p>
      <w:pPr>
        <w:spacing w:after="20" w:line="240" w:lineRule="auto"/>
        <w:ind w:left="173"/>
      </w:pPr>
      <w:r>
        <w:rPr>
          <w:rFonts w:ascii="Aptos" w:hAnsi="Aptos"/>
          <w:b/>
          <w:color w:val="08783E"/>
          <w:sz w:val="18"/>
        </w:rPr>
        <w:t>6. Obstacles Encountered and Mitigation</w:t>
      </w:r>
    </w:p>
    <w:p>
      <w:pPr>
        <w:spacing w:after="20" w:line="240" w:lineRule="auto"/>
        <w:ind w:left="173"/>
      </w:pPr>
      <w:r>
        <w:rPr>
          <w:rFonts w:ascii="Aptos" w:hAnsi="Aptos"/>
          <w:b/>
          <w:color w:val="08783E"/>
          <w:sz w:val="18"/>
        </w:rPr>
        <w:t>7. Changes to the Plan</w:t>
      </w:r>
    </w:p>
    <w:p>
      <w:pPr>
        <w:spacing w:after="20" w:line="240" w:lineRule="auto"/>
        <w:ind w:left="173"/>
      </w:pPr>
      <w:r>
        <w:rPr>
          <w:rFonts w:ascii="Aptos" w:hAnsi="Aptos"/>
          <w:b/>
          <w:color w:val="08783E"/>
          <w:sz w:val="18"/>
        </w:rPr>
        <w:t>8. Risk Management Update</w:t>
      </w:r>
    </w:p>
    <w:p>
      <w:pPr>
        <w:spacing w:after="20" w:line="240" w:lineRule="auto"/>
        <w:ind w:left="173"/>
      </w:pPr>
      <w:r>
        <w:rPr>
          <w:rFonts w:ascii="Aptos" w:hAnsi="Aptos"/>
          <w:b/>
          <w:color w:val="08783E"/>
          <w:sz w:val="18"/>
        </w:rPr>
        <w:t>9. Timeline for Remaining Deliverables</w:t>
      </w:r>
    </w:p>
    <w:p>
      <w:pPr>
        <w:spacing w:after="20" w:line="240" w:lineRule="auto"/>
        <w:ind w:left="173"/>
      </w:pPr>
      <w:r>
        <w:rPr>
          <w:rFonts w:ascii="Aptos" w:hAnsi="Aptos"/>
          <w:b/>
          <w:color w:val="08783E"/>
          <w:sz w:val="18"/>
        </w:rPr>
        <w:t>10. Conclusion</w:t>
      </w:r>
    </w:p>
    <w:p>
      <w:pPr>
        <w:spacing w:after="20" w:line="240" w:lineRule="auto"/>
        <w:ind w:left="173"/>
      </w:pPr>
      <w:r>
        <w:rPr>
          <w:rFonts w:ascii="Aptos" w:hAnsi="Aptos"/>
          <w:b/>
          <w:color w:val="08783E"/>
          <w:sz w:val="18"/>
        </w:rPr>
        <w:t>Appendix A - SRS Summary</w:t>
      </w:r>
    </w:p>
    <w:p>
      <w:pPr>
        <w:spacing w:after="20" w:line="240" w:lineRule="auto"/>
        <w:ind w:left="173"/>
      </w:pPr>
      <w:r>
        <w:rPr>
          <w:rFonts w:ascii="Aptos" w:hAnsi="Aptos"/>
          <w:b/>
          <w:color w:val="08783E"/>
          <w:sz w:val="18"/>
        </w:rPr>
        <w:t>Appendix B - Design Document Summary</w:t>
      </w:r>
    </w:p>
    <w:p>
      <w:r>
        <w:br w:type="page"/>
      </w:r>
    </w:p>
    <w:p>
      <w:pPr>
        <w:pStyle w:val="Heading1"/>
      </w:pPr>
      <w:r>
        <w:t>1. Introduction</w:t>
      </w:r>
    </w:p>
    <w:p>
      <w:pPr>
        <w:keepNext w:val="0"/>
        <w:spacing w:before="0" w:after="120" w:line="264" w:lineRule="auto"/>
      </w:pPr>
      <w:r>
        <w:rPr>
          <w:rFonts w:ascii="Aptos" w:hAnsi="Aptos"/>
          <w:b w:val="0"/>
          <w:i w:val="0"/>
          <w:color w:val="202421"/>
          <w:sz w:val="21"/>
        </w:rPr>
        <w:t>This mid-term review reports on the progress of the Car Rental and Equipment Management System (CREMS) project being developed for Carpenters Fiji Pte Limited as part of the CS400 Industry Experience Project at the University of the South Pacific.</w:t>
      </w:r>
    </w:p>
    <w:p>
      <w:pPr>
        <w:keepNext w:val="0"/>
        <w:spacing w:before="0" w:after="120" w:line="264" w:lineRule="auto"/>
      </w:pPr>
      <w:r>
        <w:rPr>
          <w:rFonts w:ascii="Aptos" w:hAnsi="Aptos"/>
          <w:b w:val="0"/>
          <w:i w:val="0"/>
          <w:color w:val="202421"/>
          <w:sz w:val="21"/>
        </w:rPr>
        <w:t>The review covers work completed during Weeks 1-5 of the 14-week project timeline (3 August - 1 September 2026). It presents the approved requirements baseline, system architecture, project plan updates, milestones achieved, obstacles encountered, risk mitigation strategies, and the timeline for completing remaining deliverables.</w:t>
      </w:r>
    </w:p>
    <w:p>
      <w:pPr>
        <w:keepNext w:val="0"/>
        <w:spacing w:before="0" w:after="120" w:line="264" w:lineRule="auto"/>
      </w:pPr>
      <w:r>
        <w:rPr>
          <w:rFonts w:ascii="Aptos" w:hAnsi="Aptos"/>
          <w:b w:val="0"/>
          <w:i w:val="0"/>
          <w:color w:val="202421"/>
          <w:sz w:val="21"/>
        </w:rPr>
        <w:t>The CREMS project aims to deliver a configurable, group-wide platform for managing rental revenue, asset maintenance expenditure, and customer service across Carpenters Fiji divisions, with initial focus on Carpenters Motors and Carptrac operations.</w:t>
      </w:r>
    </w:p>
    <w:p>
      <w:r>
        <w:br w:type="page"/>
      </w:r>
    </w:p>
    <w:p>
      <w:pPr>
        <w:pStyle w:val="Heading1"/>
      </w:pPr>
      <w:r>
        <w:t>2. Requirements Document (SRS)</w:t>
      </w:r>
    </w:p>
    <w:p>
      <w:pPr>
        <w:keepNext w:val="0"/>
        <w:spacing w:before="0" w:after="120" w:line="264" w:lineRule="auto"/>
      </w:pPr>
      <w:r>
        <w:rPr>
          <w:rFonts w:ascii="Aptos" w:hAnsi="Aptos"/>
          <w:b w:val="0"/>
          <w:i w:val="0"/>
          <w:color w:val="202421"/>
          <w:sz w:val="21"/>
        </w:rPr>
        <w:t>The Software Requirements Specification (SRS) document was completed and approved as Version 1.0 on 18 August 2026. It serves as the controlling baseline for design, development, testing, user acceptance, and handover throughout the project.</w:t>
      </w:r>
    </w:p>
    <w:p>
      <w:pPr>
        <w:pStyle w:val="Heading2"/>
      </w:pPr>
      <w:r>
        <w:t>2.1 SRS Overview</w:t>
      </w:r>
    </w:p>
    <w:p>
      <w:pPr>
        <w:keepNext w:val="0"/>
        <w:spacing w:before="0" w:after="120" w:line="264" w:lineRule="auto"/>
      </w:pPr>
      <w:r>
        <w:rPr>
          <w:rFonts w:ascii="Aptos" w:hAnsi="Aptos"/>
          <w:b w:val="0"/>
          <w:i w:val="0"/>
          <w:color w:val="202421"/>
          <w:sz w:val="21"/>
        </w:rPr>
        <w:t>The SRS defines the complete business, functional, data, security, and quality requirements for the CREMS Motors and Carptrac MVP. Key sections include:</w:t>
      </w:r>
    </w:p>
    <w:p>
      <w:pPr>
        <w:pStyle w:val="ListBullet"/>
        <w:spacing w:after="80" w:line="264" w:lineRule="auto"/>
      </w:pPr>
      <w:r>
        <w:rPr>
          <w:rFonts w:ascii="Aptos" w:hAnsi="Aptos"/>
          <w:color w:val="202421"/>
          <w:sz w:val="20"/>
        </w:rPr>
        <w:t>Introduction and product vision for the CREMS platform</w:t>
      </w:r>
    </w:p>
    <w:p>
      <w:pPr>
        <w:pStyle w:val="ListBullet"/>
        <w:spacing w:after="80" w:line="264" w:lineRule="auto"/>
      </w:pPr>
      <w:r>
        <w:rPr>
          <w:rFonts w:ascii="Aptos" w:hAnsi="Aptos"/>
          <w:color w:val="202421"/>
          <w:sz w:val="20"/>
        </w:rPr>
        <w:t>Stakeholders and user classes (Public visitor, Customer, Administrator, Branch Manager, Rental Officer, Maintenance Officer, Finance Officer, Driver/Operator)</w:t>
      </w:r>
    </w:p>
    <w:p>
      <w:pPr>
        <w:pStyle w:val="ListBullet"/>
        <w:spacing w:after="80" w:line="264" w:lineRule="auto"/>
      </w:pPr>
      <w:r>
        <w:rPr>
          <w:rFonts w:ascii="Aptos" w:hAnsi="Aptos"/>
          <w:color w:val="202421"/>
          <w:sz w:val="20"/>
        </w:rPr>
        <w:t>Scope baseline confirming in-scope and out-of-scope capabilities</w:t>
      </w:r>
    </w:p>
    <w:p>
      <w:pPr>
        <w:pStyle w:val="ListBullet"/>
        <w:spacing w:after="80" w:line="264" w:lineRule="auto"/>
      </w:pPr>
      <w:r>
        <w:rPr>
          <w:rFonts w:ascii="Aptos" w:hAnsi="Aptos"/>
          <w:color w:val="202421"/>
          <w:sz w:val="20"/>
        </w:rPr>
        <w:t>130+ functional requirements across 10 domains (Identity, Organization, Customers, Assets, Bookings, Rentals, Inspections, Maintenance, Personnel, Finance)</w:t>
      </w:r>
    </w:p>
    <w:p>
      <w:pPr>
        <w:pStyle w:val="ListBullet"/>
        <w:spacing w:after="80" w:line="264" w:lineRule="auto"/>
      </w:pPr>
      <w:r>
        <w:rPr>
          <w:rFonts w:ascii="Aptos" w:hAnsi="Aptos"/>
          <w:color w:val="202421"/>
          <w:sz w:val="20"/>
        </w:rPr>
        <w:t>15 core business rules governing rental operations</w:t>
      </w:r>
    </w:p>
    <w:p>
      <w:pPr>
        <w:pStyle w:val="ListBullet"/>
        <w:spacing w:after="80" w:line="264" w:lineRule="auto"/>
      </w:pPr>
      <w:r>
        <w:rPr>
          <w:rFonts w:ascii="Aptos" w:hAnsi="Aptos"/>
          <w:color w:val="202421"/>
          <w:sz w:val="20"/>
        </w:rPr>
        <w:t>Data requirements covering all operational domains</w:t>
      </w:r>
    </w:p>
    <w:p>
      <w:pPr>
        <w:pStyle w:val="ListBullet"/>
        <w:spacing w:after="80" w:line="264" w:lineRule="auto"/>
      </w:pPr>
      <w:r>
        <w:rPr>
          <w:rFonts w:ascii="Aptos" w:hAnsi="Aptos"/>
          <w:color w:val="202421"/>
          <w:sz w:val="20"/>
        </w:rPr>
        <w:t>External interfaces (Web UI, REST API, Database, Email, QR scanner, PDF generation)</w:t>
      </w:r>
    </w:p>
    <w:p>
      <w:pPr>
        <w:pStyle w:val="ListBullet"/>
        <w:spacing w:after="80" w:line="264" w:lineRule="auto"/>
      </w:pPr>
      <w:r>
        <w:rPr>
          <w:rFonts w:ascii="Aptos" w:hAnsi="Aptos"/>
          <w:color w:val="202421"/>
          <w:sz w:val="20"/>
        </w:rPr>
        <w:t>Non-functional requirements (Security, Performance, Reliability, Usability, Maintainability)</w:t>
      </w:r>
    </w:p>
    <w:p>
      <w:pPr>
        <w:pStyle w:val="ListBullet"/>
        <w:spacing w:after="80" w:line="264" w:lineRule="auto"/>
      </w:pPr>
      <w:r>
        <w:rPr>
          <w:rFonts w:ascii="Aptos" w:hAnsi="Aptos"/>
          <w:color w:val="202421"/>
          <w:sz w:val="20"/>
        </w:rPr>
        <w:t>Reporting requirements and acceptance criteria</w:t>
      </w:r>
    </w:p>
    <w:p>
      <w:pPr>
        <w:pStyle w:val="ListBullet"/>
        <w:spacing w:after="80" w:line="264" w:lineRule="auto"/>
      </w:pPr>
      <w:r>
        <w:rPr>
          <w:rFonts w:ascii="Aptos" w:hAnsi="Aptos"/>
          <w:color w:val="202421"/>
          <w:sz w:val="20"/>
        </w:rPr>
        <w:t>12 open decisions requiring Carpenters confirmation</w:t>
      </w:r>
    </w:p>
    <w:p>
      <w:pPr>
        <w:pStyle w:val="Heading2"/>
      </w:pPr>
      <w:r>
        <w:t>2.2 Requirements Summary</w:t>
      </w:r>
    </w:p>
    <w:tbl>
      <w:tblPr>
        <w:tblStyle w:val="TableGrid"/>
        <w:tblW w:type="dxa" w:w="9360"/>
        <w:tblLayout w:type="fixed"/>
        <w:tblLook w:firstColumn="1" w:firstRow="1" w:lastColumn="0" w:lastRow="0" w:noHBand="0" w:noVBand="1" w:val="04A0"/>
        <w:tblInd w:w="120" w:type="dxa"/>
      </w:tblPr>
      <w:tblGrid>
        <w:gridCol w:w="5105"/>
        <w:gridCol w:w="1361"/>
        <w:gridCol w:w="1361"/>
        <w:gridCol w:w="1531"/>
      </w:tblGrid>
      <w:tr>
        <w:trPr>
          <w:tblHeader w:val="true"/>
        </w:trPr>
        <w:tc>
          <w:tcPr>
            <w:tcW w:type="dxa" w:w="51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 Domain</w:t>
            </w:r>
          </w:p>
        </w:tc>
        <w:tc>
          <w:tcPr>
            <w:tcW w:type="dxa" w:w="136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Total</w:t>
            </w:r>
          </w:p>
        </w:tc>
        <w:tc>
          <w:tcPr>
            <w:tcW w:type="dxa" w:w="136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Must</w:t>
            </w:r>
          </w:p>
        </w:tc>
        <w:tc>
          <w:tcPr>
            <w:tcW w:type="dxa" w:w="153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Should</w:t>
            </w:r>
          </w:p>
        </w:tc>
      </w:tr>
      <w:tr>
        <w:trPr>
          <w:cantSplit/>
        </w:trPr>
        <w:tc>
          <w:tcPr>
            <w:tcW w:type="dxa" w:w="5105"/>
            <w:vAlign w:val="center"/>
            <w:tcMar>
              <w:top w:w="90" w:type="dxa"/>
              <w:bottom w:w="90" w:type="dxa"/>
              <w:start w:w="120" w:type="dxa"/>
              <w:end w:w="120" w:type="dxa"/>
            </w:tcMar>
          </w:tcPr>
          <w:p>
            <w:pPr>
              <w:spacing w:before="0" w:after="0" w:line="252" w:lineRule="auto"/>
            </w:pPr>
            <w:r/>
            <w:r>
              <w:rPr>
                <w:rFonts w:ascii="Aptos" w:hAnsi="Aptos"/>
                <w:b w:val="0"/>
                <w:color w:val="202421"/>
                <w:sz w:val="17"/>
              </w:rPr>
              <w:t>Identity and Access (IAM)</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15</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13</w:t>
            </w:r>
          </w:p>
        </w:tc>
        <w:tc>
          <w:tcPr>
            <w:tcW w:type="dxa" w:w="153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2</w:t>
            </w:r>
          </w:p>
        </w:tc>
      </w:tr>
      <w:tr>
        <w:trPr>
          <w:cantSplit/>
        </w:trPr>
        <w:tc>
          <w:tcPr>
            <w:tcW w:type="dxa" w:w="51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Organization and Divisions (ORG)</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10</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8</w:t>
            </w:r>
          </w:p>
        </w:tc>
        <w:tc>
          <w:tcPr>
            <w:tcW w:type="dxa" w:w="153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2</w:t>
            </w:r>
          </w:p>
        </w:tc>
      </w:tr>
      <w:tr>
        <w:trPr>
          <w:cantSplit/>
        </w:trPr>
        <w:tc>
          <w:tcPr>
            <w:tcW w:type="dxa" w:w="5105"/>
            <w:vAlign w:val="center"/>
            <w:tcMar>
              <w:top w:w="90" w:type="dxa"/>
              <w:bottom w:w="90" w:type="dxa"/>
              <w:start w:w="120" w:type="dxa"/>
              <w:end w:w="120" w:type="dxa"/>
            </w:tcMar>
          </w:tcPr>
          <w:p>
            <w:pPr>
              <w:spacing w:before="0" w:after="0" w:line="252" w:lineRule="auto"/>
            </w:pPr>
            <w:r/>
            <w:r>
              <w:rPr>
                <w:rFonts w:ascii="Aptos" w:hAnsi="Aptos"/>
                <w:b w:val="0"/>
                <w:color w:val="202421"/>
                <w:sz w:val="17"/>
              </w:rPr>
              <w:t>Customer Management (CUS)</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10</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7</w:t>
            </w:r>
          </w:p>
        </w:tc>
        <w:tc>
          <w:tcPr>
            <w:tcW w:type="dxa" w:w="153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3</w:t>
            </w:r>
          </w:p>
        </w:tc>
      </w:tr>
      <w:tr>
        <w:trPr>
          <w:cantSplit/>
        </w:trPr>
        <w:tc>
          <w:tcPr>
            <w:tcW w:type="dxa" w:w="51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Asset Register (AST)</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15</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9</w:t>
            </w:r>
          </w:p>
        </w:tc>
        <w:tc>
          <w:tcPr>
            <w:tcW w:type="dxa" w:w="153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6</w:t>
            </w:r>
          </w:p>
        </w:tc>
      </w:tr>
      <w:tr>
        <w:trPr>
          <w:cantSplit/>
        </w:trPr>
        <w:tc>
          <w:tcPr>
            <w:tcW w:type="dxa" w:w="5105"/>
            <w:vAlign w:val="center"/>
            <w:tcMar>
              <w:top w:w="90" w:type="dxa"/>
              <w:bottom w:w="90" w:type="dxa"/>
              <w:start w:w="120" w:type="dxa"/>
              <w:end w:w="120" w:type="dxa"/>
            </w:tcMar>
          </w:tcPr>
          <w:p>
            <w:pPr>
              <w:spacing w:before="0" w:after="0" w:line="252" w:lineRule="auto"/>
            </w:pPr>
            <w:r/>
            <w:r>
              <w:rPr>
                <w:rFonts w:ascii="Aptos" w:hAnsi="Aptos"/>
                <w:b w:val="0"/>
                <w:color w:val="202421"/>
                <w:sz w:val="17"/>
              </w:rPr>
              <w:t>Quotation and Booking (BKG)</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13</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10</w:t>
            </w:r>
          </w:p>
        </w:tc>
        <w:tc>
          <w:tcPr>
            <w:tcW w:type="dxa" w:w="153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3</w:t>
            </w:r>
          </w:p>
        </w:tc>
      </w:tr>
      <w:tr>
        <w:trPr>
          <w:cantSplit/>
        </w:trPr>
        <w:tc>
          <w:tcPr>
            <w:tcW w:type="dxa" w:w="51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Rental Operations (HIR)</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11</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11</w:t>
            </w:r>
          </w:p>
        </w:tc>
        <w:tc>
          <w:tcPr>
            <w:tcW w:type="dxa" w:w="153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0</w:t>
            </w:r>
          </w:p>
        </w:tc>
      </w:tr>
      <w:tr>
        <w:trPr>
          <w:cantSplit/>
        </w:trPr>
        <w:tc>
          <w:tcPr>
            <w:tcW w:type="dxa" w:w="5105"/>
            <w:vAlign w:val="center"/>
            <w:tcMar>
              <w:top w:w="90" w:type="dxa"/>
              <w:bottom w:w="90" w:type="dxa"/>
              <w:start w:w="120" w:type="dxa"/>
              <w:end w:w="120" w:type="dxa"/>
            </w:tcMar>
          </w:tcPr>
          <w:p>
            <w:pPr>
              <w:spacing w:before="0" w:after="0" w:line="252" w:lineRule="auto"/>
            </w:pPr>
            <w:r/>
            <w:r>
              <w:rPr>
                <w:rFonts w:ascii="Aptos" w:hAnsi="Aptos"/>
                <w:b w:val="0"/>
                <w:color w:val="202421"/>
                <w:sz w:val="17"/>
              </w:rPr>
              <w:t>Inspections (INS)</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11</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10</w:t>
            </w:r>
          </w:p>
        </w:tc>
        <w:tc>
          <w:tcPr>
            <w:tcW w:type="dxa" w:w="153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1</w:t>
            </w:r>
          </w:p>
        </w:tc>
      </w:tr>
      <w:tr>
        <w:trPr>
          <w:cantSplit/>
        </w:trPr>
        <w:tc>
          <w:tcPr>
            <w:tcW w:type="dxa" w:w="51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Maintenance (MNT)</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10</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5</w:t>
            </w:r>
          </w:p>
        </w:tc>
        <w:tc>
          <w:tcPr>
            <w:tcW w:type="dxa" w:w="153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5</w:t>
            </w:r>
          </w:p>
        </w:tc>
      </w:tr>
      <w:tr>
        <w:trPr>
          <w:cantSplit/>
        </w:trPr>
        <w:tc>
          <w:tcPr>
            <w:tcW w:type="dxa" w:w="5105"/>
            <w:vAlign w:val="center"/>
            <w:tcMar>
              <w:top w:w="90" w:type="dxa"/>
              <w:bottom w:w="90" w:type="dxa"/>
              <w:start w:w="120" w:type="dxa"/>
              <w:end w:w="120" w:type="dxa"/>
            </w:tcMar>
          </w:tcPr>
          <w:p>
            <w:pPr>
              <w:spacing w:before="0" w:after="0" w:line="252" w:lineRule="auto"/>
            </w:pPr>
            <w:r/>
            <w:r>
              <w:rPr>
                <w:rFonts w:ascii="Aptos" w:hAnsi="Aptos"/>
                <w:b w:val="0"/>
                <w:color w:val="202421"/>
                <w:sz w:val="17"/>
              </w:rPr>
              <w:t>Personnel and Field (OPS)</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6</w:t>
            </w:r>
          </w:p>
        </w:tc>
        <w:tc>
          <w:tcPr>
            <w:tcW w:type="dxa" w:w="136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2</w:t>
            </w:r>
          </w:p>
        </w:tc>
        <w:tc>
          <w:tcPr>
            <w:tcW w:type="dxa" w:w="153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7"/>
              </w:rPr>
              <w:t>4</w:t>
            </w:r>
          </w:p>
        </w:tc>
      </w:tr>
      <w:tr>
        <w:trPr>
          <w:cantSplit/>
        </w:trPr>
        <w:tc>
          <w:tcPr>
            <w:tcW w:type="dxa" w:w="51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Finance and Reporting (FIN)</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14</w:t>
            </w:r>
          </w:p>
        </w:tc>
        <w:tc>
          <w:tcPr>
            <w:tcW w:type="dxa" w:w="136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9</w:t>
            </w:r>
          </w:p>
        </w:tc>
        <w:tc>
          <w:tcPr>
            <w:tcW w:type="dxa" w:w="153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7"/>
              </w:rPr>
              <w:t>5</w:t>
            </w:r>
          </w:p>
        </w:tc>
      </w:tr>
    </w:tbl>
    <w:p>
      <w:pPr>
        <w:spacing w:after="0"/>
      </w:pPr>
    </w:p>
    <w:p>
      <w:pPr>
        <w:spacing w:before="80" w:after="160" w:line="264" w:lineRule="auto"/>
        <w:ind w:left="115" w:right="115"/>
        <w:shd w:fill="EAF4EE"/>
        <w:pBdr>
          <w:top w:val="single" w:sz="4" w:color="EAF4EE" w:space="5"/>
          <w:left w:val="single" w:sz="4" w:color="EAF4EE" w:space="5"/>
          <w:bottom w:val="single" w:sz="4" w:color="EAF4EE" w:space="5"/>
          <w:right w:val="single" w:sz="4" w:color="EAF4EE" w:space="5"/>
        </w:pBdr>
      </w:pPr>
      <w:r>
        <w:rPr>
          <w:rFonts w:ascii="Aptos" w:hAnsi="Aptos"/>
          <w:b/>
          <w:color w:val="151515"/>
          <w:sz w:val="20"/>
        </w:rPr>
        <w:t xml:space="preserve">Full SRS Document: </w:t>
      </w:r>
      <w:r>
        <w:rPr>
          <w:rFonts w:ascii="Aptos" w:hAnsi="Aptos"/>
          <w:color w:val="151515"/>
          <w:sz w:val="20"/>
        </w:rPr>
        <w:t>The complete Software Requirements Specification v1.0 is included as Appendix A of this report and is available as a standalone document: CREMS_Software_Requirements_Specification_v1.0.pdf</w:t>
      </w:r>
    </w:p>
    <w:p>
      <w:r>
        <w:br w:type="page"/>
      </w:r>
    </w:p>
    <w:p>
      <w:pPr>
        <w:pStyle w:val="Heading1"/>
      </w:pPr>
      <w:r>
        <w:t>3. System Architecture and Design</w:t>
      </w:r>
    </w:p>
    <w:p>
      <w:pPr>
        <w:keepNext w:val="0"/>
        <w:spacing w:before="0" w:after="120" w:line="264" w:lineRule="auto"/>
      </w:pPr>
      <w:r>
        <w:rPr>
          <w:rFonts w:ascii="Aptos" w:hAnsi="Aptos"/>
          <w:b w:val="0"/>
          <w:i w:val="0"/>
          <w:color w:val="202421"/>
          <w:sz w:val="21"/>
        </w:rPr>
        <w:t>The Functional Specification Document (FSD) translates the approved requirements into observable system behavior and defines the technical architecture for implementation.</w:t>
      </w:r>
    </w:p>
    <w:p>
      <w:pPr>
        <w:pStyle w:val="Heading2"/>
      </w:pPr>
      <w:r>
        <w:t>3.1 Architectural Overview</w:t>
      </w:r>
    </w:p>
    <w:p>
      <w:pPr>
        <w:keepNext w:val="0"/>
        <w:spacing w:before="0" w:after="120" w:line="264" w:lineRule="auto"/>
      </w:pPr>
      <w:r>
        <w:rPr>
          <w:rFonts w:ascii="Aptos" w:hAnsi="Aptos"/>
          <w:b w:val="0"/>
          <w:i w:val="0"/>
          <w:color w:val="202421"/>
          <w:sz w:val="21"/>
        </w:rPr>
        <w:t>CREMS uses a modular monolith architecture: one React frontend, one ASP.NET Core API, and one SQL Server database. This approach keeps deployment and debugging manageable while retaining clean API boundaries for future extensions.</w:t>
      </w:r>
    </w:p>
    <w:tbl>
      <w:tblPr>
        <w:tblStyle w:val="TableGrid"/>
        <w:tblW w:type="dxa" w:w="9360"/>
        <w:tblLayout w:type="fixed"/>
        <w:tblLook w:firstColumn="1" w:firstRow="1" w:lastColumn="0" w:lastRow="0" w:noHBand="0" w:noVBand="1" w:val="04A0"/>
        <w:tblInd w:w="120" w:type="dxa"/>
      </w:tblPr>
      <w:tblGrid>
        <w:gridCol w:w="2005"/>
        <w:gridCol w:w="3342"/>
        <w:gridCol w:w="4011"/>
      </w:tblGrid>
      <w:tr>
        <w:trPr>
          <w:tblHeader w:val="true"/>
        </w:trPr>
        <w:tc>
          <w:tcPr>
            <w:tcW w:type="dxa" w:w="20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Layer</w:t>
            </w:r>
          </w:p>
        </w:tc>
        <w:tc>
          <w:tcPr>
            <w:tcW w:type="dxa" w:w="334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Technology</w:t>
            </w:r>
          </w:p>
        </w:tc>
        <w:tc>
          <w:tcPr>
            <w:tcW w:type="dxa" w:w="401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Responsibility</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7"/>
              </w:rPr>
              <w:t>Frontend</w:t>
            </w:r>
          </w:p>
        </w:tc>
        <w:tc>
          <w:tcPr>
            <w:tcW w:type="dxa" w:w="3342"/>
            <w:vAlign w:val="center"/>
            <w:tcMar>
              <w:top w:w="90" w:type="dxa"/>
              <w:bottom w:w="90" w:type="dxa"/>
              <w:start w:w="120" w:type="dxa"/>
              <w:end w:w="120" w:type="dxa"/>
            </w:tcMar>
          </w:tcPr>
          <w:p>
            <w:pPr>
              <w:spacing w:before="0" w:after="0" w:line="252" w:lineRule="auto"/>
            </w:pPr>
            <w:r/>
            <w:r>
              <w:rPr>
                <w:rFonts w:ascii="Aptos" w:hAnsi="Aptos"/>
                <w:b w:val="0"/>
                <w:color w:val="202421"/>
                <w:sz w:val="17"/>
              </w:rPr>
              <w:t>React 19, TypeScript, Vite, Material UI</w:t>
            </w:r>
          </w:p>
        </w:tc>
        <w:tc>
          <w:tcPr>
            <w:tcW w:type="dxa" w:w="4011"/>
            <w:vAlign w:val="center"/>
            <w:tcMar>
              <w:top w:w="90" w:type="dxa"/>
              <w:bottom w:w="90" w:type="dxa"/>
              <w:start w:w="120" w:type="dxa"/>
              <w:end w:w="120" w:type="dxa"/>
            </w:tcMar>
          </w:tcPr>
          <w:p>
            <w:pPr>
              <w:spacing w:before="0" w:after="0" w:line="252" w:lineRule="auto"/>
            </w:pPr>
            <w:r/>
            <w:r>
              <w:rPr>
                <w:rFonts w:ascii="Aptos" w:hAnsi="Aptos"/>
                <w:b w:val="0"/>
                <w:color w:val="202421"/>
                <w:sz w:val="17"/>
              </w:rPr>
              <w:t>Responsive public site, customer portal, task-based staff portal</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API</w:t>
            </w:r>
          </w:p>
        </w:tc>
        <w:tc>
          <w:tcPr>
            <w:tcW w:type="dxa" w:w="334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ASP.NET Core 10 Web API</w:t>
            </w:r>
          </w:p>
        </w:tc>
        <w:tc>
          <w:tcPr>
            <w:tcW w:type="dxa" w:w="4011"/>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Validation, authorization, workflow orchestration, REST contracts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7"/>
              </w:rPr>
              <w:t>Identity</w:t>
            </w:r>
          </w:p>
        </w:tc>
        <w:tc>
          <w:tcPr>
            <w:tcW w:type="dxa" w:w="3342"/>
            <w:vAlign w:val="center"/>
            <w:tcMar>
              <w:top w:w="90" w:type="dxa"/>
              <w:bottom w:w="90" w:type="dxa"/>
              <w:start w:w="120" w:type="dxa"/>
              <w:end w:w="120" w:type="dxa"/>
            </w:tcMar>
          </w:tcPr>
          <w:p>
            <w:pPr>
              <w:spacing w:before="0" w:after="0" w:line="252" w:lineRule="auto"/>
            </w:pPr>
            <w:r/>
            <w:r>
              <w:rPr>
                <w:rFonts w:ascii="Aptos" w:hAnsi="Aptos"/>
                <w:b w:val="0"/>
                <w:color w:val="202421"/>
                <w:sz w:val="17"/>
              </w:rPr>
              <w:t>ASP.NET Core Identity, secure cookies</w:t>
            </w:r>
          </w:p>
        </w:tc>
        <w:tc>
          <w:tcPr>
            <w:tcW w:type="dxa" w:w="4011"/>
            <w:vAlign w:val="center"/>
            <w:tcMar>
              <w:top w:w="90" w:type="dxa"/>
              <w:bottom w:w="90" w:type="dxa"/>
              <w:start w:w="120" w:type="dxa"/>
              <w:end w:w="120" w:type="dxa"/>
            </w:tcMar>
          </w:tcPr>
          <w:p>
            <w:pPr>
              <w:spacing w:before="0" w:after="0" w:line="252" w:lineRule="auto"/>
            </w:pPr>
            <w:r/>
            <w:r>
              <w:rPr>
                <w:rFonts w:ascii="Aptos" w:hAnsi="Aptos"/>
                <w:b w:val="0"/>
                <w:color w:val="202421"/>
                <w:sz w:val="17"/>
              </w:rPr>
              <w:t>Staff/customer separation, roles, recovery, session security</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Data</w:t>
            </w:r>
          </w:p>
        </w:tc>
        <w:tc>
          <w:tcPr>
            <w:tcW w:type="dxa" w:w="334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SQL Server 2022, Entity Framework Core</w:t>
            </w:r>
          </w:p>
        </w:tc>
        <w:tc>
          <w:tcPr>
            <w:tcW w:type="dxa" w:w="4011"/>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Relational integrity, transactions, migrations, reporting</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7"/>
              </w:rPr>
              <w:t>Delivery</w:t>
            </w:r>
          </w:p>
        </w:tc>
        <w:tc>
          <w:tcPr>
            <w:tcW w:type="dxa" w:w="3342"/>
            <w:vAlign w:val="center"/>
            <w:tcMar>
              <w:top w:w="90" w:type="dxa"/>
              <w:bottom w:w="90" w:type="dxa"/>
              <w:start w:w="120" w:type="dxa"/>
              <w:end w:w="120" w:type="dxa"/>
            </w:tcMar>
          </w:tcPr>
          <w:p>
            <w:pPr>
              <w:spacing w:before="0" w:after="0" w:line="252" w:lineRule="auto"/>
            </w:pPr>
            <w:r/>
            <w:r>
              <w:rPr>
                <w:rFonts w:ascii="Aptos" w:hAnsi="Aptos"/>
                <w:b w:val="0"/>
                <w:color w:val="202421"/>
                <w:sz w:val="17"/>
              </w:rPr>
              <w:t>Docker Compose, GitHub, Postman</w:t>
            </w:r>
          </w:p>
        </w:tc>
        <w:tc>
          <w:tcPr>
            <w:tcW w:type="dxa" w:w="4011"/>
            <w:vAlign w:val="center"/>
            <w:tcMar>
              <w:top w:w="90" w:type="dxa"/>
              <w:bottom w:w="90" w:type="dxa"/>
              <w:start w:w="120" w:type="dxa"/>
              <w:end w:w="120" w:type="dxa"/>
            </w:tcMar>
          </w:tcPr>
          <w:p>
            <w:pPr>
              <w:spacing w:before="0" w:after="0" w:line="252" w:lineRule="auto"/>
            </w:pPr>
            <w:r/>
            <w:r>
              <w:rPr>
                <w:rFonts w:ascii="Aptos" w:hAnsi="Aptos"/>
                <w:b w:val="0"/>
                <w:color w:val="202421"/>
                <w:sz w:val="17"/>
              </w:rPr>
              <w:t>Repeatable environments, collaboration, testing</w:t>
            </w:r>
          </w:p>
        </w:tc>
      </w:tr>
    </w:tbl>
    <w:p>
      <w:pPr>
        <w:spacing w:after="0"/>
      </w:pPr>
    </w:p>
    <w:p>
      <w:pPr>
        <w:pStyle w:val="Heading2"/>
      </w:pPr>
      <w:r>
        <w:t>3.2 Backend Modules</w:t>
      </w:r>
    </w:p>
    <w:p>
      <w:pPr>
        <w:keepNext w:val="0"/>
        <w:spacing w:before="0" w:after="120" w:line="264" w:lineRule="auto"/>
      </w:pPr>
      <w:r>
        <w:rPr>
          <w:rFonts w:ascii="Aptos" w:hAnsi="Aptos"/>
          <w:b w:val="0"/>
          <w:i w:val="0"/>
          <w:color w:val="202421"/>
          <w:sz w:val="21"/>
        </w:rPr>
        <w:t>The system is organized into the following domain modules:</w:t>
      </w:r>
    </w:p>
    <w:p>
      <w:pPr>
        <w:pStyle w:val="ListBullet"/>
        <w:spacing w:after="80" w:line="264" w:lineRule="auto"/>
      </w:pPr>
      <w:r>
        <w:rPr>
          <w:rFonts w:ascii="Aptos" w:hAnsi="Aptos"/>
          <w:color w:val="202421"/>
          <w:sz w:val="20"/>
        </w:rPr>
        <w:t>Identity and access management</w:t>
      </w:r>
    </w:p>
    <w:p>
      <w:pPr>
        <w:pStyle w:val="ListBullet"/>
        <w:spacing w:after="80" w:line="264" w:lineRule="auto"/>
      </w:pPr>
      <w:r>
        <w:rPr>
          <w:rFonts w:ascii="Aptos" w:hAnsi="Aptos"/>
          <w:color w:val="202421"/>
          <w:sz w:val="20"/>
        </w:rPr>
        <w:t>Branches and organization</w:t>
      </w:r>
    </w:p>
    <w:p>
      <w:pPr>
        <w:pStyle w:val="ListBullet"/>
        <w:spacing w:after="80" w:line="264" w:lineRule="auto"/>
      </w:pPr>
      <w:r>
        <w:rPr>
          <w:rFonts w:ascii="Aptos" w:hAnsi="Aptos"/>
          <w:color w:val="202421"/>
          <w:sz w:val="20"/>
        </w:rPr>
        <w:t>Customers and portal management</w:t>
      </w:r>
    </w:p>
    <w:p>
      <w:pPr>
        <w:pStyle w:val="ListBullet"/>
        <w:spacing w:after="80" w:line="264" w:lineRule="auto"/>
      </w:pPr>
      <w:r>
        <w:rPr>
          <w:rFonts w:ascii="Aptos" w:hAnsi="Aptos"/>
          <w:color w:val="202421"/>
          <w:sz w:val="20"/>
        </w:rPr>
        <w:t>Assets and catalogue</w:t>
      </w:r>
    </w:p>
    <w:p>
      <w:pPr>
        <w:pStyle w:val="ListBullet"/>
        <w:spacing w:after="80" w:line="264" w:lineRule="auto"/>
      </w:pPr>
      <w:r>
        <w:rPr>
          <w:rFonts w:ascii="Aptos" w:hAnsi="Aptos"/>
          <w:color w:val="202421"/>
          <w:sz w:val="20"/>
        </w:rPr>
        <w:t>Bookings and availability</w:t>
      </w:r>
    </w:p>
    <w:p>
      <w:pPr>
        <w:pStyle w:val="ListBullet"/>
        <w:spacing w:after="80" w:line="264" w:lineRule="auto"/>
      </w:pPr>
      <w:r>
        <w:rPr>
          <w:rFonts w:ascii="Aptos" w:hAnsi="Aptos"/>
          <w:color w:val="202421"/>
          <w:sz w:val="20"/>
        </w:rPr>
        <w:t>Rentals and returns</w:t>
      </w:r>
    </w:p>
    <w:p>
      <w:pPr>
        <w:pStyle w:val="ListBullet"/>
        <w:spacing w:after="80" w:line="264" w:lineRule="auto"/>
      </w:pPr>
      <w:r>
        <w:rPr>
          <w:rFonts w:ascii="Aptos" w:hAnsi="Aptos"/>
          <w:color w:val="202421"/>
          <w:sz w:val="20"/>
        </w:rPr>
        <w:t>Inspections and damage</w:t>
      </w:r>
    </w:p>
    <w:p>
      <w:pPr>
        <w:pStyle w:val="ListBullet"/>
        <w:spacing w:after="80" w:line="264" w:lineRule="auto"/>
      </w:pPr>
      <w:r>
        <w:rPr>
          <w:rFonts w:ascii="Aptos" w:hAnsi="Aptos"/>
          <w:color w:val="202421"/>
          <w:sz w:val="20"/>
        </w:rPr>
        <w:t>Maintenance and costs</w:t>
      </w:r>
    </w:p>
    <w:p>
      <w:pPr>
        <w:pStyle w:val="ListBullet"/>
        <w:spacing w:after="80" w:line="264" w:lineRule="auto"/>
      </w:pPr>
      <w:r>
        <w:rPr>
          <w:rFonts w:ascii="Aptos" w:hAnsi="Aptos"/>
          <w:color w:val="202421"/>
          <w:sz w:val="20"/>
        </w:rPr>
        <w:t>Reporting and dashboards</w:t>
      </w:r>
    </w:p>
    <w:p>
      <w:pPr>
        <w:pStyle w:val="ListBullet"/>
        <w:spacing w:after="80" w:line="264" w:lineRule="auto"/>
      </w:pPr>
      <w:r>
        <w:rPr>
          <w:rFonts w:ascii="Aptos" w:hAnsi="Aptos"/>
          <w:color w:val="202421"/>
          <w:sz w:val="20"/>
        </w:rPr>
        <w:t>Notifications and email</w:t>
      </w:r>
    </w:p>
    <w:p>
      <w:pPr>
        <w:pStyle w:val="ListBullet"/>
        <w:spacing w:after="80" w:line="264" w:lineRule="auto"/>
      </w:pPr>
      <w:r>
        <w:rPr>
          <w:rFonts w:ascii="Aptos" w:hAnsi="Aptos"/>
          <w:color w:val="202421"/>
          <w:sz w:val="20"/>
        </w:rPr>
        <w:t>Auditing and history</w:t>
      </w:r>
    </w:p>
    <w:p>
      <w:pPr>
        <w:pStyle w:val="Heading2"/>
      </w:pPr>
      <w:r>
        <w:t>3.3 Key Design Decisions</w:t>
      </w:r>
    </w:p>
    <w:tbl>
      <w:tblPr>
        <w:tblStyle w:val="TableGrid"/>
        <w:tblW w:type="dxa" w:w="9360"/>
        <w:tblLayout w:type="fixed"/>
        <w:tblLook w:firstColumn="1" w:firstRow="1" w:lastColumn="0" w:lastRow="0" w:noHBand="0" w:noVBand="1" w:val="04A0"/>
        <w:tblInd w:w="120" w:type="dxa"/>
      </w:tblPr>
      <w:tblGrid>
        <w:gridCol w:w="2674"/>
        <w:gridCol w:w="6685"/>
      </w:tblGrid>
      <w:tr>
        <w:trPr>
          <w:tblHeader w:val="true"/>
        </w:trPr>
        <w:tc>
          <w:tcPr>
            <w:tcW w:type="dxa" w:w="267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Decision</w:t>
            </w:r>
          </w:p>
        </w:tc>
        <w:tc>
          <w:tcPr>
            <w:tcW w:type="dxa" w:w="668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Rationale</w:t>
            </w:r>
          </w:p>
        </w:tc>
      </w:tr>
      <w:tr>
        <w:trPr>
          <w:cantSplit/>
        </w:trPr>
        <w:tc>
          <w:tcPr>
            <w:tcW w:type="dxa" w:w="2674"/>
            <w:vAlign w:val="center"/>
            <w:tcMar>
              <w:top w:w="90" w:type="dxa"/>
              <w:bottom w:w="90" w:type="dxa"/>
              <w:start w:w="120" w:type="dxa"/>
              <w:end w:w="120" w:type="dxa"/>
            </w:tcMar>
          </w:tcPr>
          <w:p>
            <w:pPr>
              <w:spacing w:before="0" w:after="0" w:line="252" w:lineRule="auto"/>
            </w:pPr>
            <w:r/>
            <w:r>
              <w:rPr>
                <w:rFonts w:ascii="Aptos" w:hAnsi="Aptos"/>
                <w:b w:val="0"/>
                <w:color w:val="202421"/>
                <w:sz w:val="18"/>
              </w:rPr>
              <w:t>GUID primary keys</w:t>
            </w:r>
          </w:p>
        </w:tc>
        <w:tc>
          <w:tcPr>
            <w:tcW w:type="dxa" w:w="6685"/>
            <w:vAlign w:val="center"/>
            <w:tcMar>
              <w:top w:w="90" w:type="dxa"/>
              <w:bottom w:w="90" w:type="dxa"/>
              <w:start w:w="120" w:type="dxa"/>
              <w:end w:w="120" w:type="dxa"/>
            </w:tcMar>
          </w:tcPr>
          <w:p>
            <w:pPr>
              <w:spacing w:before="0" w:after="0" w:line="252" w:lineRule="auto"/>
            </w:pPr>
            <w:r/>
            <w:r>
              <w:rPr>
                <w:rFonts w:ascii="Aptos" w:hAnsi="Aptos"/>
                <w:b w:val="0"/>
                <w:color w:val="202421"/>
                <w:sz w:val="18"/>
              </w:rPr>
              <w:t>Avoid exposing predictable record counts; simplify offline imports</w:t>
            </w:r>
          </w:p>
        </w:tc>
      </w:tr>
      <w:tr>
        <w:trPr>
          <w:cantSplit/>
        </w:trPr>
        <w:tc>
          <w:tcPr>
            <w:tcW w:type="dxa" w:w="267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DateTimeOffset for events</w:t>
            </w:r>
          </w:p>
        </w:tc>
        <w:tc>
          <w:tcPr>
            <w:tcW w:type="dxa" w:w="668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Proper time zone handling; Fiji-local conversion at boundaries</w:t>
            </w:r>
          </w:p>
        </w:tc>
      </w:tr>
      <w:tr>
        <w:trPr>
          <w:cantSplit/>
        </w:trPr>
        <w:tc>
          <w:tcPr>
            <w:tcW w:type="dxa" w:w="2674"/>
            <w:vAlign w:val="center"/>
            <w:tcMar>
              <w:top w:w="90" w:type="dxa"/>
              <w:bottom w:w="90" w:type="dxa"/>
              <w:start w:w="120" w:type="dxa"/>
              <w:end w:w="120" w:type="dxa"/>
            </w:tcMar>
          </w:tcPr>
          <w:p>
            <w:pPr>
              <w:spacing w:before="0" w:after="0" w:line="252" w:lineRule="auto"/>
            </w:pPr>
            <w:r/>
            <w:r>
              <w:rPr>
                <w:rFonts w:ascii="Aptos" w:hAnsi="Aptos"/>
                <w:b w:val="0"/>
                <w:color w:val="202421"/>
                <w:sz w:val="18"/>
              </w:rPr>
              <w:t>Explicit asset states</w:t>
            </w:r>
          </w:p>
        </w:tc>
        <w:tc>
          <w:tcPr>
            <w:tcW w:type="dxa" w:w="6685"/>
            <w:vAlign w:val="center"/>
            <w:tcMar>
              <w:top w:w="90" w:type="dxa"/>
              <w:bottom w:w="90" w:type="dxa"/>
              <w:start w:w="120" w:type="dxa"/>
              <w:end w:w="120" w:type="dxa"/>
            </w:tcMar>
          </w:tcPr>
          <w:p>
            <w:pPr>
              <w:spacing w:before="0" w:after="0" w:line="252" w:lineRule="auto"/>
            </w:pPr>
            <w:r/>
            <w:r>
              <w:rPr>
                <w:rFonts w:ascii="Aptos" w:hAnsi="Aptos"/>
                <w:b w:val="0"/>
                <w:color w:val="202421"/>
                <w:sz w:val="18"/>
              </w:rPr>
              <w:t>Clear operational state rather than deriving from UI labels</w:t>
            </w:r>
          </w:p>
        </w:tc>
      </w:tr>
      <w:tr>
        <w:trPr>
          <w:cantSplit/>
        </w:trPr>
        <w:tc>
          <w:tcPr>
            <w:tcW w:type="dxa" w:w="267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Booking lines carry agreed rate</w:t>
            </w:r>
          </w:p>
        </w:tc>
        <w:tc>
          <w:tcPr>
            <w:tcW w:type="dxa" w:w="668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Master-rate changes do not alter historical records</w:t>
            </w:r>
          </w:p>
        </w:tc>
      </w:tr>
      <w:tr>
        <w:trPr>
          <w:cantSplit/>
        </w:trPr>
        <w:tc>
          <w:tcPr>
            <w:tcW w:type="dxa" w:w="2674"/>
            <w:vAlign w:val="center"/>
            <w:tcMar>
              <w:top w:w="90" w:type="dxa"/>
              <w:bottom w:w="90" w:type="dxa"/>
              <w:start w:w="120" w:type="dxa"/>
              <w:end w:w="120" w:type="dxa"/>
            </w:tcMar>
          </w:tcPr>
          <w:p>
            <w:pPr>
              <w:spacing w:before="0" w:after="0" w:line="252" w:lineRule="auto"/>
            </w:pPr>
            <w:r/>
            <w:r>
              <w:rPr>
                <w:rFonts w:ascii="Aptos" w:hAnsi="Aptos"/>
                <w:b w:val="0"/>
                <w:color w:val="202421"/>
                <w:sz w:val="18"/>
              </w:rPr>
              <w:t>SQL constraints + transactional checks</w:t>
            </w:r>
          </w:p>
        </w:tc>
        <w:tc>
          <w:tcPr>
            <w:tcW w:type="dxa" w:w="6685"/>
            <w:vAlign w:val="center"/>
            <w:tcMar>
              <w:top w:w="90" w:type="dxa"/>
              <w:bottom w:w="90" w:type="dxa"/>
              <w:start w:w="120" w:type="dxa"/>
              <w:end w:w="120" w:type="dxa"/>
            </w:tcMar>
          </w:tcPr>
          <w:p>
            <w:pPr>
              <w:spacing w:before="0" w:after="0" w:line="252" w:lineRule="auto"/>
            </w:pPr>
            <w:r/>
            <w:r>
              <w:rPr>
                <w:rFonts w:ascii="Aptos" w:hAnsi="Aptos"/>
                <w:b w:val="0"/>
                <w:color w:val="202421"/>
                <w:sz w:val="18"/>
              </w:rPr>
              <w:t>Joint prevention of double booking</w:t>
            </w:r>
          </w:p>
        </w:tc>
      </w:tr>
      <w:tr>
        <w:trPr>
          <w:cantSplit/>
        </w:trPr>
        <w:tc>
          <w:tcPr>
            <w:tcW w:type="dxa" w:w="267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Soft delete via deactivation</w:t>
            </w:r>
          </w:p>
        </w:tc>
        <w:tc>
          <w:tcPr>
            <w:tcW w:type="dxa" w:w="668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Preserve audit history and referential integrity</w:t>
            </w:r>
          </w:p>
        </w:tc>
      </w:tr>
    </w:tbl>
    <w:p>
      <w:pPr>
        <w:spacing w:after="0"/>
      </w:pPr>
    </w:p>
    <w:p>
      <w:pPr>
        <w:spacing w:before="80" w:after="160" w:line="264" w:lineRule="auto"/>
        <w:ind w:left="115" w:right="115"/>
        <w:shd w:fill="EAF4EE"/>
        <w:pBdr>
          <w:top w:val="single" w:sz="4" w:color="EAF4EE" w:space="5"/>
          <w:left w:val="single" w:sz="4" w:color="EAF4EE" w:space="5"/>
          <w:bottom w:val="single" w:sz="4" w:color="EAF4EE" w:space="5"/>
          <w:right w:val="single" w:sz="4" w:color="EAF4EE" w:space="5"/>
        </w:pBdr>
      </w:pPr>
      <w:r>
        <w:rPr>
          <w:rFonts w:ascii="Aptos" w:hAnsi="Aptos"/>
          <w:b/>
          <w:color w:val="151515"/>
          <w:sz w:val="20"/>
        </w:rPr>
        <w:t xml:space="preserve">Full FSD Document: </w:t>
      </w:r>
      <w:r>
        <w:rPr>
          <w:rFonts w:ascii="Aptos" w:hAnsi="Aptos"/>
          <w:color w:val="151515"/>
          <w:sz w:val="20"/>
        </w:rPr>
        <w:t>The complete Functional Specification Document v1.0 is included as Appendix B of this report and is available as a standalone document: CREMS_Functional_Specification_Document_v1.0.pdf</w:t>
      </w:r>
    </w:p>
    <w:p>
      <w:r>
        <w:br w:type="page"/>
      </w:r>
    </w:p>
    <w:p>
      <w:pPr>
        <w:pStyle w:val="Heading1"/>
      </w:pPr>
      <w:r>
        <w:t>4. Project Plan Updates</w:t>
      </w:r>
    </w:p>
    <w:p>
      <w:pPr>
        <w:keepNext w:val="0"/>
        <w:spacing w:before="0" w:after="120" w:line="264" w:lineRule="auto"/>
      </w:pPr>
      <w:r>
        <w:rPr>
          <w:rFonts w:ascii="Aptos" w:hAnsi="Aptos"/>
          <w:b w:val="0"/>
          <w:i w:val="0"/>
          <w:color w:val="202421"/>
          <w:sz w:val="21"/>
        </w:rPr>
        <w:t>The project is planned as a 12-week agile delivery from 10 August to 30 October 2026, organized into one-week sprints with weekly client checkpoints. The following sections detail concrete steps taken during the first four weeks.</w:t>
      </w:r>
    </w:p>
    <w:p>
      <w:pPr>
        <w:pStyle w:val="Heading2"/>
      </w:pPr>
      <w:r>
        <w:t>4.1 Work Completed (Weeks 1-4)</w:t>
      </w:r>
    </w:p>
    <w:p>
      <w:pPr>
        <w:pStyle w:val="Heading3"/>
      </w:pPr>
      <w:r>
        <w:t>Week 1: Scope and Foundation (10-14 August)</w:t>
      </w:r>
    </w:p>
    <w:p>
      <w:pPr>
        <w:pStyle w:val="ListBullet"/>
        <w:spacing w:after="80" w:line="264" w:lineRule="auto"/>
      </w:pPr>
      <w:r>
        <w:rPr>
          <w:rFonts w:ascii="Aptos" w:hAnsi="Aptos"/>
          <w:color w:val="202421"/>
          <w:sz w:val="20"/>
        </w:rPr>
        <w:t>Client meeting and domain research</w:t>
      </w:r>
    </w:p>
    <w:p>
      <w:pPr>
        <w:pStyle w:val="ListBullet"/>
        <w:spacing w:after="80" w:line="264" w:lineRule="auto"/>
      </w:pPr>
      <w:r>
        <w:rPr>
          <w:rFonts w:ascii="Aptos" w:hAnsi="Aptos"/>
          <w:color w:val="202421"/>
          <w:sz w:val="20"/>
        </w:rPr>
        <w:t>Approved Motors/Carptrac boundary confirmation</w:t>
      </w:r>
    </w:p>
    <w:p>
      <w:pPr>
        <w:pStyle w:val="ListBullet"/>
        <w:spacing w:after="80" w:line="264" w:lineRule="auto"/>
      </w:pPr>
      <w:r>
        <w:rPr>
          <w:rFonts w:ascii="Aptos" w:hAnsi="Aptos"/>
          <w:color w:val="202421"/>
          <w:sz w:val="20"/>
        </w:rPr>
        <w:t>Requirements baseline and risk register establishment</w:t>
      </w:r>
    </w:p>
    <w:p>
      <w:pPr>
        <w:pStyle w:val="ListBullet"/>
        <w:spacing w:after="80" w:line="264" w:lineRule="auto"/>
      </w:pPr>
      <w:r>
        <w:rPr>
          <w:rFonts w:ascii="Aptos" w:hAnsi="Aptos"/>
          <w:color w:val="202421"/>
          <w:sz w:val="20"/>
        </w:rPr>
        <w:t>Git repository and branch conventions setup</w:t>
      </w:r>
    </w:p>
    <w:p>
      <w:pPr>
        <w:pStyle w:val="ListBullet"/>
        <w:spacing w:after="80" w:line="264" w:lineRule="auto"/>
      </w:pPr>
      <w:r>
        <w:rPr>
          <w:rFonts w:ascii="Aptos" w:hAnsi="Aptos"/>
          <w:color w:val="202421"/>
          <w:sz w:val="20"/>
        </w:rPr>
        <w:t>Solution skeleton and initial SQL Server container configuration</w:t>
      </w:r>
    </w:p>
    <w:p>
      <w:pPr>
        <w:pStyle w:val="Heading3"/>
      </w:pPr>
      <w:r>
        <w:t>Week 2: Authentication and Startup Services (17-21 August)</w:t>
      </w:r>
    </w:p>
    <w:p>
      <w:pPr>
        <w:pStyle w:val="ListBullet"/>
        <w:spacing w:after="80" w:line="264" w:lineRule="auto"/>
      </w:pPr>
      <w:r>
        <w:rPr>
          <w:rFonts w:ascii="Aptos" w:hAnsi="Aptos"/>
          <w:color w:val="202421"/>
          <w:sz w:val="20"/>
        </w:rPr>
        <w:t>Staff/customer sign-in implementation</w:t>
      </w:r>
    </w:p>
    <w:p>
      <w:pPr>
        <w:pStyle w:val="ListBullet"/>
        <w:spacing w:after="80" w:line="264" w:lineRule="auto"/>
      </w:pPr>
      <w:r>
        <w:rPr>
          <w:rFonts w:ascii="Aptos" w:hAnsi="Aptos"/>
          <w:color w:val="202421"/>
          <w:sz w:val="20"/>
        </w:rPr>
        <w:t>Secure password handling with ASP.NET Identity</w:t>
      </w:r>
    </w:p>
    <w:p>
      <w:pPr>
        <w:pStyle w:val="ListBullet"/>
        <w:spacing w:after="80" w:line="264" w:lineRule="auto"/>
      </w:pPr>
      <w:r>
        <w:rPr>
          <w:rFonts w:ascii="Aptos" w:hAnsi="Aptos"/>
          <w:color w:val="202421"/>
          <w:sz w:val="20"/>
        </w:rPr>
        <w:t>Cookie/session timeout configuration</w:t>
      </w:r>
    </w:p>
    <w:p>
      <w:pPr>
        <w:pStyle w:val="ListBullet"/>
        <w:spacing w:after="80" w:line="264" w:lineRule="auto"/>
      </w:pPr>
      <w:r>
        <w:rPr>
          <w:rFonts w:ascii="Aptos" w:hAnsi="Aptos"/>
          <w:color w:val="202421"/>
          <w:sz w:val="20"/>
        </w:rPr>
        <w:t>API authorization defaults</w:t>
      </w:r>
    </w:p>
    <w:p>
      <w:pPr>
        <w:pStyle w:val="ListBullet"/>
        <w:spacing w:after="80" w:line="264" w:lineRule="auto"/>
      </w:pPr>
      <w:r>
        <w:rPr>
          <w:rFonts w:ascii="Aptos" w:hAnsi="Aptos"/>
          <w:color w:val="202421"/>
          <w:sz w:val="20"/>
        </w:rPr>
        <w:t>Health checks and error handling foundations</w:t>
      </w:r>
    </w:p>
    <w:p>
      <w:pPr>
        <w:pStyle w:val="Heading3"/>
      </w:pPr>
      <w:r>
        <w:t>Week 3: Organization and Access Isolation (24-28 August)</w:t>
      </w:r>
    </w:p>
    <w:p>
      <w:pPr>
        <w:pStyle w:val="ListBullet"/>
        <w:spacing w:after="80" w:line="264" w:lineRule="auto"/>
      </w:pPr>
      <w:r>
        <w:rPr>
          <w:rFonts w:ascii="Aptos" w:hAnsi="Aptos"/>
          <w:color w:val="202421"/>
          <w:sz w:val="20"/>
        </w:rPr>
        <w:t>Division/branch administration</w:t>
      </w:r>
    </w:p>
    <w:p>
      <w:pPr>
        <w:pStyle w:val="ListBullet"/>
        <w:spacing w:after="80" w:line="264" w:lineRule="auto"/>
      </w:pPr>
      <w:r>
        <w:rPr>
          <w:rFonts w:ascii="Aptos" w:hAnsi="Aptos"/>
          <w:color w:val="202421"/>
          <w:sz w:val="20"/>
        </w:rPr>
        <w:t>User assignments and role matrix</w:t>
      </w:r>
    </w:p>
    <w:p>
      <w:pPr>
        <w:pStyle w:val="ListBullet"/>
        <w:spacing w:after="80" w:line="264" w:lineRule="auto"/>
      </w:pPr>
      <w:r>
        <w:rPr>
          <w:rFonts w:ascii="Aptos" w:hAnsi="Aptos"/>
          <w:color w:val="202421"/>
          <w:sz w:val="20"/>
        </w:rPr>
        <w:t>API-level division and branch isolation</w:t>
      </w:r>
    </w:p>
    <w:p>
      <w:pPr>
        <w:pStyle w:val="ListBullet"/>
        <w:spacing w:after="80" w:line="264" w:lineRule="auto"/>
      </w:pPr>
      <w:r>
        <w:rPr>
          <w:rFonts w:ascii="Aptos" w:hAnsi="Aptos"/>
          <w:color w:val="202421"/>
          <w:sz w:val="20"/>
        </w:rPr>
        <w:t>Configuration screens for organization setup</w:t>
      </w:r>
    </w:p>
    <w:p>
      <w:pPr>
        <w:pStyle w:val="Heading3"/>
      </w:pPr>
      <w:r>
        <w:t>Week 4: Customer Module (31 August - 4 September)</w:t>
      </w:r>
    </w:p>
    <w:p>
      <w:pPr>
        <w:pStyle w:val="ListBullet"/>
        <w:spacing w:after="80" w:line="264" w:lineRule="auto"/>
      </w:pPr>
      <w:r>
        <w:rPr>
          <w:rFonts w:ascii="Aptos" w:hAnsi="Aptos"/>
          <w:color w:val="202421"/>
          <w:sz w:val="20"/>
        </w:rPr>
        <w:t>Individual and corporate customer profiles</w:t>
      </w:r>
    </w:p>
    <w:p>
      <w:pPr>
        <w:pStyle w:val="ListBullet"/>
        <w:spacing w:after="80" w:line="264" w:lineRule="auto"/>
      </w:pPr>
      <w:r>
        <w:rPr>
          <w:rFonts w:ascii="Aptos" w:hAnsi="Aptos"/>
          <w:color w:val="202421"/>
          <w:sz w:val="20"/>
        </w:rPr>
        <w:t>Contacts and approved renters management</w:t>
      </w:r>
    </w:p>
    <w:p>
      <w:pPr>
        <w:pStyle w:val="ListBullet"/>
        <w:spacing w:after="80" w:line="264" w:lineRule="auto"/>
      </w:pPr>
      <w:r>
        <w:rPr>
          <w:rFonts w:ascii="Aptos" w:hAnsi="Aptos"/>
          <w:color w:val="202421"/>
          <w:sz w:val="20"/>
        </w:rPr>
        <w:t>Customer portal foundation</w:t>
      </w:r>
    </w:p>
    <w:p>
      <w:pPr>
        <w:pStyle w:val="ListBullet"/>
        <w:spacing w:after="80" w:line="264" w:lineRule="auto"/>
      </w:pPr>
      <w:r>
        <w:rPr>
          <w:rFonts w:ascii="Aptos" w:hAnsi="Aptos"/>
          <w:color w:val="202421"/>
          <w:sz w:val="20"/>
        </w:rPr>
        <w:t>Validation and search functionality</w:t>
      </w:r>
    </w:p>
    <w:p>
      <w:r>
        <w:br w:type="page"/>
      </w:r>
    </w:p>
    <w:p>
      <w:pPr>
        <w:pStyle w:val="Heading1"/>
      </w:pPr>
      <w:r>
        <w:t>5. Milestones Achieved</w:t>
      </w:r>
    </w:p>
    <w:tbl>
      <w:tblPr>
        <w:tblStyle w:val="TableGrid"/>
        <w:tblW w:type="dxa" w:w="9360"/>
        <w:tblLayout w:type="fixed"/>
        <w:tblLook w:firstColumn="1" w:firstRow="1" w:lastColumn="0" w:lastRow="0" w:noHBand="0" w:noVBand="1" w:val="04A0"/>
        <w:tblInd w:w="120" w:type="dxa"/>
      </w:tblPr>
      <w:tblGrid>
        <w:gridCol w:w="3677"/>
        <w:gridCol w:w="1337"/>
        <w:gridCol w:w="2172"/>
        <w:gridCol w:w="2172"/>
      </w:tblGrid>
      <w:tr>
        <w:trPr>
          <w:tblHeader w:val="true"/>
        </w:trPr>
        <w:tc>
          <w:tcPr>
            <w:tcW w:type="dxa" w:w="367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Milestone</w:t>
            </w:r>
          </w:p>
        </w:tc>
        <w:tc>
          <w:tcPr>
            <w:tcW w:type="dxa" w:w="13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Sprint</w:t>
            </w:r>
          </w:p>
        </w:tc>
        <w:tc>
          <w:tcPr>
            <w:tcW w:type="dxa" w:w="217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Target Date</w:t>
            </w:r>
          </w:p>
        </w:tc>
        <w:tc>
          <w:tcPr>
            <w:tcW w:type="dxa" w:w="217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Status</w:t>
            </w:r>
          </w:p>
        </w:tc>
      </w:tr>
      <w:tr>
        <w:trPr>
          <w:cantSplit/>
        </w:trPr>
        <w:tc>
          <w:tcPr>
            <w:tcW w:type="dxa" w:w="3677"/>
            <w:vAlign w:val="center"/>
            <w:tcMar>
              <w:top w:w="90" w:type="dxa"/>
              <w:bottom w:w="90" w:type="dxa"/>
              <w:start w:w="120" w:type="dxa"/>
              <w:end w:w="120" w:type="dxa"/>
            </w:tcMar>
          </w:tcPr>
          <w:p>
            <w:pPr>
              <w:spacing w:before="0" w:after="0" w:line="252" w:lineRule="auto"/>
            </w:pPr>
            <w:r/>
            <w:r>
              <w:rPr>
                <w:rFonts w:ascii="Aptos" w:hAnsi="Aptos"/>
                <w:b w:val="0"/>
                <w:color w:val="202421"/>
                <w:sz w:val="18"/>
              </w:rPr>
              <w:t>M1 — Scope and engineering foundation</w:t>
            </w:r>
          </w:p>
        </w:tc>
        <w:tc>
          <w:tcPr>
            <w:tcW w:type="dxa" w:w="13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Week 1</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14 August 2026</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Completed</w:t>
            </w:r>
          </w:p>
        </w:tc>
      </w:tr>
      <w:tr>
        <w:trPr>
          <w:cantSplit/>
        </w:trPr>
        <w:tc>
          <w:tcPr>
            <w:tcW w:type="dxa" w:w="3677"/>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M2 — Secure sign-in demo</w:t>
            </w:r>
          </w:p>
        </w:tc>
        <w:tc>
          <w:tcPr>
            <w:tcW w:type="dxa" w:w="13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Week 2</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21 August 2026</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Completed</w:t>
            </w:r>
          </w:p>
        </w:tc>
      </w:tr>
      <w:tr>
        <w:trPr>
          <w:cantSplit/>
        </w:trPr>
        <w:tc>
          <w:tcPr>
            <w:tcW w:type="dxa" w:w="3677"/>
            <w:vAlign w:val="center"/>
            <w:tcMar>
              <w:top w:w="90" w:type="dxa"/>
              <w:bottom w:w="90" w:type="dxa"/>
              <w:start w:w="120" w:type="dxa"/>
              <w:end w:w="120" w:type="dxa"/>
            </w:tcMar>
          </w:tcPr>
          <w:p>
            <w:pPr>
              <w:spacing w:before="0" w:after="0" w:line="252" w:lineRule="auto"/>
            </w:pPr>
            <w:r/>
            <w:r>
              <w:rPr>
                <w:rFonts w:ascii="Aptos" w:hAnsi="Aptos"/>
                <w:b w:val="0"/>
                <w:color w:val="202421"/>
                <w:sz w:val="18"/>
              </w:rPr>
              <w:t>M3 — Access-isolation demo</w:t>
            </w:r>
          </w:p>
        </w:tc>
        <w:tc>
          <w:tcPr>
            <w:tcW w:type="dxa" w:w="13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Week 3</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28 August 2026</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Completed</w:t>
            </w:r>
          </w:p>
        </w:tc>
      </w:tr>
      <w:tr>
        <w:trPr>
          <w:cantSplit/>
        </w:trPr>
        <w:tc>
          <w:tcPr>
            <w:tcW w:type="dxa" w:w="3677"/>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M4 — Configurable asset-register demo</w:t>
            </w:r>
          </w:p>
        </w:tc>
        <w:tc>
          <w:tcPr>
            <w:tcW w:type="dxa" w:w="13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Week 5</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11 September 2026</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In Progress</w:t>
            </w:r>
          </w:p>
        </w:tc>
      </w:tr>
      <w:tr>
        <w:trPr>
          <w:cantSplit/>
        </w:trPr>
        <w:tc>
          <w:tcPr>
            <w:tcW w:type="dxa" w:w="3677"/>
            <w:vAlign w:val="center"/>
            <w:tcMar>
              <w:top w:w="90" w:type="dxa"/>
              <w:bottom w:w="90" w:type="dxa"/>
              <w:start w:w="120" w:type="dxa"/>
              <w:end w:w="120" w:type="dxa"/>
            </w:tcMar>
          </w:tcPr>
          <w:p>
            <w:pPr>
              <w:spacing w:before="0" w:after="0" w:line="252" w:lineRule="auto"/>
            </w:pPr>
            <w:r/>
            <w:r>
              <w:rPr>
                <w:rFonts w:ascii="Aptos" w:hAnsi="Aptos"/>
                <w:b w:val="0"/>
                <w:color w:val="202421"/>
                <w:sz w:val="18"/>
              </w:rPr>
              <w:t>M5 — Quotation-to-booking demo</w:t>
            </w:r>
          </w:p>
        </w:tc>
        <w:tc>
          <w:tcPr>
            <w:tcW w:type="dxa" w:w="13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Week 7</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25 September 2026</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Pending</w:t>
            </w:r>
          </w:p>
        </w:tc>
      </w:tr>
      <w:tr>
        <w:trPr>
          <w:cantSplit/>
        </w:trPr>
        <w:tc>
          <w:tcPr>
            <w:tcW w:type="dxa" w:w="3677"/>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M6 — Motors lifecycle demo</w:t>
            </w:r>
          </w:p>
        </w:tc>
        <w:tc>
          <w:tcPr>
            <w:tcW w:type="dxa" w:w="13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Week 8</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2 October 2026</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Pending</w:t>
            </w:r>
          </w:p>
        </w:tc>
      </w:tr>
      <w:tr>
        <w:trPr>
          <w:cantSplit/>
        </w:trPr>
        <w:tc>
          <w:tcPr>
            <w:tcW w:type="dxa" w:w="3677"/>
            <w:vAlign w:val="center"/>
            <w:tcMar>
              <w:top w:w="90" w:type="dxa"/>
              <w:bottom w:w="90" w:type="dxa"/>
              <w:start w:w="120" w:type="dxa"/>
              <w:end w:w="120" w:type="dxa"/>
            </w:tcMar>
          </w:tcPr>
          <w:p>
            <w:pPr>
              <w:spacing w:before="0" w:after="0" w:line="252" w:lineRule="auto"/>
            </w:pPr>
            <w:r/>
            <w:r>
              <w:rPr>
                <w:rFonts w:ascii="Aptos" w:hAnsi="Aptos"/>
                <w:b w:val="0"/>
                <w:color w:val="202421"/>
                <w:sz w:val="18"/>
              </w:rPr>
              <w:t>M7 — Carptrac lifecycle demo</w:t>
            </w:r>
          </w:p>
        </w:tc>
        <w:tc>
          <w:tcPr>
            <w:tcW w:type="dxa" w:w="13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Week 10</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16 October 2026</w:t>
            </w:r>
          </w:p>
        </w:tc>
        <w:tc>
          <w:tcPr>
            <w:tcW w:type="dxa" w:w="2172"/>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Pending</w:t>
            </w:r>
          </w:p>
        </w:tc>
      </w:tr>
      <w:tr>
        <w:trPr>
          <w:cantSplit/>
        </w:trPr>
        <w:tc>
          <w:tcPr>
            <w:tcW w:type="dxa" w:w="3677"/>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M8 — Final handover</w:t>
            </w:r>
          </w:p>
        </w:tc>
        <w:tc>
          <w:tcPr>
            <w:tcW w:type="dxa" w:w="13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Week 12</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30 October 2026</w:t>
            </w:r>
          </w:p>
        </w:tc>
        <w:tc>
          <w:tcPr>
            <w:tcW w:type="dxa" w:w="2172"/>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Pending</w:t>
            </w:r>
          </w:p>
        </w:tc>
      </w:tr>
    </w:tbl>
    <w:p>
      <w:pPr>
        <w:spacing w:after="0"/>
      </w:pPr>
    </w:p>
    <w:p>
      <w:pPr>
        <w:spacing w:before="80" w:after="160" w:line="264" w:lineRule="auto"/>
        <w:ind w:left="115" w:right="115"/>
        <w:shd w:fill="EAF4EE"/>
        <w:pBdr>
          <w:top w:val="single" w:sz="4" w:color="EAF4EE" w:space="5"/>
          <w:left w:val="single" w:sz="4" w:color="EAF4EE" w:space="5"/>
          <w:bottom w:val="single" w:sz="4" w:color="EAF4EE" w:space="5"/>
          <w:right w:val="single" w:sz="4" w:color="EAF4EE" w:space="5"/>
        </w:pBdr>
      </w:pPr>
      <w:r>
        <w:rPr>
          <w:rFonts w:ascii="Aptos" w:hAnsi="Aptos"/>
          <w:b/>
          <w:color w:val="151515"/>
          <w:sz w:val="20"/>
        </w:rPr>
        <w:t xml:space="preserve">Milestone Status: </w:t>
      </w:r>
      <w:r>
        <w:rPr>
          <w:rFonts w:ascii="Aptos" w:hAnsi="Aptos"/>
          <w:color w:val="151515"/>
          <w:sz w:val="20"/>
        </w:rPr>
        <w:t>The project is on track with the planned schedule. Milestones 1-3 were completed on time. Milestone 4 is currently in progress and on schedule for completion by 11 September 2026.</w:t>
      </w:r>
    </w:p>
    <w:p>
      <w:r>
        <w:br w:type="page"/>
      </w:r>
    </w:p>
    <w:p>
      <w:pPr>
        <w:pStyle w:val="Heading1"/>
      </w:pPr>
      <w:r>
        <w:t>6. Obstacles Encountered and Mitigation</w:t>
      </w:r>
    </w:p>
    <w:p>
      <w:pPr>
        <w:pStyle w:val="Heading2"/>
      </w:pPr>
      <w:r>
        <w:t>6.1 Requirements Uncertainty</w:t>
      </w:r>
    </w:p>
    <w:p>
      <w:pPr>
        <w:keepNext w:val="0"/>
        <w:spacing w:before="0" w:after="120" w:line="264" w:lineRule="auto"/>
      </w:pPr>
      <w:r>
        <w:rPr>
          <w:rFonts w:ascii="Aptos" w:hAnsi="Aptos"/>
          <w:b w:val="0"/>
          <w:i w:val="0"/>
          <w:color w:val="202421"/>
          <w:sz w:val="21"/>
        </w:rPr>
        <w:t>Several business rules remain subject to client confirmation, including pricing rules, approval thresholds, and inspection requirements.</w:t>
      </w:r>
    </w:p>
    <w:p>
      <w:pPr>
        <w:keepNext w:val="0"/>
        <w:spacing w:before="0" w:after="80" w:line="264" w:lineRule="auto"/>
      </w:pPr>
      <w:r>
        <w:rPr>
          <w:rFonts w:ascii="Aptos" w:hAnsi="Aptos"/>
          <w:b/>
          <w:i w:val="0"/>
          <w:color w:val="202421"/>
          <w:sz w:val="21"/>
        </w:rPr>
        <w:t>Mitigation:</w:t>
      </w:r>
    </w:p>
    <w:p>
      <w:pPr>
        <w:pStyle w:val="ListBullet"/>
        <w:spacing w:after="80" w:line="264" w:lineRule="auto"/>
      </w:pPr>
      <w:r>
        <w:rPr>
          <w:rFonts w:ascii="Aptos" w:hAnsi="Aptos"/>
          <w:color w:val="202421"/>
          <w:sz w:val="20"/>
        </w:rPr>
        <w:t>Maintained a requirements register tracking 18 open decisions</w:t>
      </w:r>
    </w:p>
    <w:p>
      <w:pPr>
        <w:pStyle w:val="ListBullet"/>
        <w:spacing w:after="80" w:line="264" w:lineRule="auto"/>
      </w:pPr>
      <w:r>
        <w:rPr>
          <w:rFonts w:ascii="Aptos" w:hAnsi="Aptos"/>
          <w:color w:val="202421"/>
          <w:sz w:val="20"/>
        </w:rPr>
        <w:t>Documented provisional assumptions where implementation must begin early</w:t>
      </w:r>
    </w:p>
    <w:p>
      <w:pPr>
        <w:pStyle w:val="ListBullet"/>
        <w:spacing w:after="80" w:line="264" w:lineRule="auto"/>
      </w:pPr>
      <w:r>
        <w:rPr>
          <w:rFonts w:ascii="Aptos" w:hAnsi="Aptos"/>
          <w:color w:val="202421"/>
          <w:sz w:val="20"/>
        </w:rPr>
        <w:t>Scheduled fortnightly client checkpoints for decision confirmation</w:t>
      </w:r>
    </w:p>
    <w:p>
      <w:pPr>
        <w:pStyle w:val="ListBullet"/>
        <w:spacing w:after="80" w:line="264" w:lineRule="auto"/>
      </w:pPr>
      <w:r>
        <w:rPr>
          <w:rFonts w:ascii="Aptos" w:hAnsi="Aptos"/>
          <w:color w:val="202421"/>
          <w:sz w:val="20"/>
        </w:rPr>
        <w:t>Designed configurable rules to accommodate various pricing and approval models</w:t>
      </w:r>
    </w:p>
    <w:p>
      <w:pPr>
        <w:pStyle w:val="Heading2"/>
      </w:pPr>
      <w:r>
        <w:t>6.2 Scope Management</w:t>
      </w:r>
    </w:p>
    <w:p>
      <w:pPr>
        <w:keepNext w:val="0"/>
        <w:spacing w:before="0" w:after="120" w:line="264" w:lineRule="auto"/>
      </w:pPr>
      <w:r>
        <w:rPr>
          <w:rFonts w:ascii="Aptos" w:hAnsi="Aptos"/>
          <w:b w:val="0"/>
          <w:i w:val="0"/>
          <w:color w:val="202421"/>
          <w:sz w:val="21"/>
        </w:rPr>
        <w:t>The group-wide modular scope presents complexity in designing a system that supports multiple divisions without duplicating code or data.</w:t>
      </w:r>
    </w:p>
    <w:p>
      <w:pPr>
        <w:keepNext w:val="0"/>
        <w:spacing w:before="0" w:after="80" w:line="264" w:lineRule="auto"/>
      </w:pPr>
      <w:r>
        <w:rPr>
          <w:rFonts w:ascii="Aptos" w:hAnsi="Aptos"/>
          <w:b/>
          <w:i w:val="0"/>
          <w:color w:val="202421"/>
          <w:sz w:val="21"/>
        </w:rPr>
        <w:t>Mitigation:</w:t>
      </w:r>
    </w:p>
    <w:p>
      <w:pPr>
        <w:pStyle w:val="ListBullet"/>
        <w:spacing w:after="80" w:line="264" w:lineRule="auto"/>
      </w:pPr>
      <w:r>
        <w:rPr>
          <w:rFonts w:ascii="Aptos" w:hAnsi="Aptos"/>
          <w:color w:val="202421"/>
          <w:sz w:val="20"/>
        </w:rPr>
        <w:t>Adopted capability-driven division configuration</w:t>
      </w:r>
    </w:p>
    <w:p>
      <w:pPr>
        <w:pStyle w:val="ListBullet"/>
        <w:spacing w:after="80" w:line="264" w:lineRule="auto"/>
      </w:pPr>
      <w:r>
        <w:rPr>
          <w:rFonts w:ascii="Aptos" w:hAnsi="Aptos"/>
          <w:color w:val="202421"/>
          <w:sz w:val="20"/>
        </w:rPr>
        <w:t>Implemented progressive disclosure for customer journeys</w:t>
      </w:r>
    </w:p>
    <w:p>
      <w:pPr>
        <w:pStyle w:val="ListBullet"/>
        <w:spacing w:after="80" w:line="264" w:lineRule="auto"/>
      </w:pPr>
      <w:r>
        <w:rPr>
          <w:rFonts w:ascii="Aptos" w:hAnsi="Aptos"/>
          <w:color w:val="202421"/>
          <w:sz w:val="20"/>
        </w:rPr>
        <w:t>Protected MVP boundary with strict change control</w:t>
      </w:r>
    </w:p>
    <w:p>
      <w:pPr>
        <w:pStyle w:val="ListBullet"/>
        <w:spacing w:after="80" w:line="264" w:lineRule="auto"/>
      </w:pPr>
      <w:r>
        <w:rPr>
          <w:rFonts w:ascii="Aptos" w:hAnsi="Aptos"/>
          <w:color w:val="202421"/>
          <w:sz w:val="20"/>
        </w:rPr>
        <w:t>Used feature flags for division-specific capabilities</w:t>
      </w:r>
    </w:p>
    <w:p>
      <w:pPr>
        <w:pStyle w:val="Heading2"/>
      </w:pPr>
      <w:r>
        <w:t>6.3 Technical Complexity</w:t>
      </w:r>
    </w:p>
    <w:p>
      <w:pPr>
        <w:keepNext w:val="0"/>
        <w:spacing w:before="0" w:after="120" w:line="264" w:lineRule="auto"/>
      </w:pPr>
      <w:r>
        <w:rPr>
          <w:rFonts w:ascii="Aptos" w:hAnsi="Aptos"/>
          <w:b w:val="0"/>
          <w:i w:val="0"/>
          <w:color w:val="202421"/>
          <w:sz w:val="21"/>
        </w:rPr>
        <w:t>The dual customer/staff authentication model with division/branch scoping adds complexity to authorization and data access.</w:t>
      </w:r>
    </w:p>
    <w:p>
      <w:pPr>
        <w:keepNext w:val="0"/>
        <w:spacing w:before="0" w:after="80" w:line="264" w:lineRule="auto"/>
      </w:pPr>
      <w:r>
        <w:rPr>
          <w:rFonts w:ascii="Aptos" w:hAnsi="Aptos"/>
          <w:b/>
          <w:i w:val="0"/>
          <w:color w:val="202421"/>
          <w:sz w:val="21"/>
        </w:rPr>
        <w:t>Mitigation:</w:t>
      </w:r>
    </w:p>
    <w:p>
      <w:pPr>
        <w:pStyle w:val="ListBullet"/>
        <w:spacing w:after="80" w:line="264" w:lineRule="auto"/>
      </w:pPr>
      <w:r>
        <w:rPr>
          <w:rFonts w:ascii="Aptos" w:hAnsi="Aptos"/>
          <w:color w:val="202421"/>
          <w:sz w:val="20"/>
        </w:rPr>
        <w:t>Implemented CurrentStaffScope service for consistent scope enforcement</w:t>
      </w:r>
    </w:p>
    <w:p>
      <w:pPr>
        <w:pStyle w:val="ListBullet"/>
        <w:spacing w:after="80" w:line="264" w:lineRule="auto"/>
      </w:pPr>
      <w:r>
        <w:rPr>
          <w:rFonts w:ascii="Aptos" w:hAnsi="Aptos"/>
          <w:color w:val="202421"/>
          <w:sz w:val="20"/>
        </w:rPr>
        <w:t>Created granular permission system beyond basic roles</w:t>
      </w:r>
    </w:p>
    <w:p>
      <w:pPr>
        <w:pStyle w:val="ListBullet"/>
        <w:spacing w:after="80" w:line="264" w:lineRule="auto"/>
      </w:pPr>
      <w:r>
        <w:rPr>
          <w:rFonts w:ascii="Aptos" w:hAnsi="Aptos"/>
          <w:color w:val="202421"/>
          <w:sz w:val="20"/>
        </w:rPr>
        <w:t>Used server-side query filtering to prevent data leakage</w:t>
      </w:r>
    </w:p>
    <w:p>
      <w:pPr>
        <w:pStyle w:val="ListBullet"/>
        <w:spacing w:after="80" w:line="264" w:lineRule="auto"/>
      </w:pPr>
      <w:r>
        <w:rPr>
          <w:rFonts w:ascii="Aptos" w:hAnsi="Aptos"/>
          <w:color w:val="202421"/>
          <w:sz w:val="20"/>
        </w:rPr>
        <w:t>Developed comprehensive authorization test suite</w:t>
      </w:r>
    </w:p>
    <w:p>
      <w:pPr>
        <w:pStyle w:val="Heading2"/>
      </w:pPr>
      <w:r>
        <w:t>6.4 Client Availability</w:t>
      </w:r>
    </w:p>
    <w:p>
      <w:pPr>
        <w:keepNext w:val="0"/>
        <w:spacing w:before="0" w:after="120" w:line="264" w:lineRule="auto"/>
      </w:pPr>
      <w:r>
        <w:rPr>
          <w:rFonts w:ascii="Aptos" w:hAnsi="Aptos"/>
          <w:b w:val="0"/>
          <w:i w:val="0"/>
          <w:color w:val="202421"/>
          <w:sz w:val="21"/>
        </w:rPr>
        <w:t>Scheduling client meetings and obtaining timely decisions on business rules has been challenging.</w:t>
      </w:r>
    </w:p>
    <w:p>
      <w:pPr>
        <w:keepNext w:val="0"/>
        <w:spacing w:before="0" w:after="80" w:line="264" w:lineRule="auto"/>
      </w:pPr>
      <w:r>
        <w:rPr>
          <w:rFonts w:ascii="Aptos" w:hAnsi="Aptos"/>
          <w:b/>
          <w:i w:val="0"/>
          <w:color w:val="202421"/>
          <w:sz w:val="21"/>
        </w:rPr>
        <w:t>Mitigation:</w:t>
      </w:r>
    </w:p>
    <w:p>
      <w:pPr>
        <w:pStyle w:val="ListBullet"/>
        <w:spacing w:after="80" w:line="264" w:lineRule="auto"/>
      </w:pPr>
      <w:r>
        <w:rPr>
          <w:rFonts w:ascii="Aptos" w:hAnsi="Aptos"/>
          <w:color w:val="202421"/>
          <w:sz w:val="20"/>
        </w:rPr>
        <w:t>Prepared focused decision requests with clear options and defaults</w:t>
      </w:r>
    </w:p>
    <w:p>
      <w:pPr>
        <w:pStyle w:val="ListBullet"/>
        <w:spacing w:after="80" w:line="264" w:lineRule="auto"/>
      </w:pPr>
      <w:r>
        <w:rPr>
          <w:rFonts w:ascii="Aptos" w:hAnsi="Aptos"/>
          <w:color w:val="202421"/>
          <w:sz w:val="20"/>
        </w:rPr>
        <w:t>Used requirements register to prioritize decisions by impact</w:t>
      </w:r>
    </w:p>
    <w:p>
      <w:pPr>
        <w:pStyle w:val="ListBullet"/>
        <w:spacing w:after="80" w:line="264" w:lineRule="auto"/>
      </w:pPr>
      <w:r>
        <w:rPr>
          <w:rFonts w:ascii="Aptos" w:hAnsi="Aptos"/>
          <w:color w:val="202421"/>
          <w:sz w:val="20"/>
        </w:rPr>
        <w:t>Documented provisional assumptions to maintain development momentum</w:t>
      </w:r>
    </w:p>
    <w:p>
      <w:pPr>
        <w:pStyle w:val="ListBullet"/>
        <w:spacing w:after="80" w:line="264" w:lineRule="auto"/>
      </w:pPr>
      <w:r>
        <w:rPr>
          <w:rFonts w:ascii="Aptos" w:hAnsi="Aptos"/>
          <w:color w:val="202421"/>
          <w:sz w:val="20"/>
        </w:rPr>
        <w:t>Scheduled regular fortnightly checkpoints</w:t>
      </w:r>
    </w:p>
    <w:p>
      <w:r>
        <w:br w:type="page"/>
      </w:r>
    </w:p>
    <w:p>
      <w:pPr>
        <w:pStyle w:val="Heading1"/>
      </w:pPr>
      <w:r>
        <w:t>7. Changes to the Plan</w:t>
      </w:r>
    </w:p>
    <w:p>
      <w:pPr>
        <w:keepNext w:val="0"/>
        <w:spacing w:before="0" w:after="120" w:line="264" w:lineRule="auto"/>
      </w:pPr>
      <w:r>
        <w:rPr>
          <w:rFonts w:ascii="Aptos" w:hAnsi="Aptos"/>
          <w:b w:val="0"/>
          <w:i w:val="0"/>
          <w:color w:val="202421"/>
          <w:sz w:val="21"/>
        </w:rPr>
        <w:t>The following changes have been made to the original project plan since its approval:</w:t>
      </w:r>
    </w:p>
    <w:p>
      <w:pPr>
        <w:pStyle w:val="Heading2"/>
      </w:pPr>
      <w:r>
        <w:t>7.1 Scope Clarification</w:t>
      </w:r>
    </w:p>
    <w:p>
      <w:pPr>
        <w:keepNext w:val="0"/>
        <w:spacing w:before="0" w:after="120" w:line="264" w:lineRule="auto"/>
      </w:pPr>
      <w:r>
        <w:rPr>
          <w:rFonts w:ascii="Aptos" w:hAnsi="Aptos"/>
          <w:b w:val="0"/>
          <w:i w:val="0"/>
          <w:color w:val="202421"/>
          <w:sz w:val="21"/>
        </w:rPr>
        <w:t>Following the first client meeting, the scope was clarified to emphasize group-wide modular capabilities rather than a vehicle-only rental system. This led to:</w:t>
      </w:r>
    </w:p>
    <w:p>
      <w:pPr>
        <w:pStyle w:val="ListBullet"/>
        <w:spacing w:after="80" w:line="264" w:lineRule="auto"/>
      </w:pPr>
      <w:r>
        <w:rPr>
          <w:rFonts w:ascii="Aptos" w:hAnsi="Aptos"/>
          <w:color w:val="202421"/>
          <w:sz w:val="20"/>
        </w:rPr>
        <w:t>Addition of configurable division capabilities and service offerings</w:t>
      </w:r>
    </w:p>
    <w:p>
      <w:pPr>
        <w:pStyle w:val="ListBullet"/>
        <w:spacing w:after="80" w:line="264" w:lineRule="auto"/>
      </w:pPr>
      <w:r>
        <w:rPr>
          <w:rFonts w:ascii="Aptos" w:hAnsi="Aptos"/>
          <w:color w:val="202421"/>
          <w:sz w:val="20"/>
        </w:rPr>
        <w:t>Implementation of personnel requirement configuration for equipment hire</w:t>
      </w:r>
    </w:p>
    <w:p>
      <w:pPr>
        <w:pStyle w:val="ListBullet"/>
        <w:spacing w:after="80" w:line="264" w:lineRule="auto"/>
      </w:pPr>
      <w:r>
        <w:rPr>
          <w:rFonts w:ascii="Aptos" w:hAnsi="Aptos"/>
          <w:color w:val="202421"/>
          <w:sz w:val="20"/>
        </w:rPr>
        <w:t>Enhanced customer model supporting both individual and corporate accounts</w:t>
      </w:r>
    </w:p>
    <w:p>
      <w:pPr>
        <w:pStyle w:val="ListBullet"/>
        <w:spacing w:after="80" w:line="264" w:lineRule="auto"/>
      </w:pPr>
      <w:r>
        <w:rPr>
          <w:rFonts w:ascii="Aptos" w:hAnsi="Aptos"/>
          <w:color w:val="202421"/>
          <w:sz w:val="20"/>
        </w:rPr>
        <w:t>Progressive disclosure design for public customer journeys</w:t>
      </w:r>
    </w:p>
    <w:p>
      <w:pPr>
        <w:pStyle w:val="Heading2"/>
      </w:pPr>
      <w:r>
        <w:t>7.2 Architecture Refinement</w:t>
      </w:r>
    </w:p>
    <w:p>
      <w:pPr>
        <w:keepNext w:val="0"/>
        <w:spacing w:before="0" w:after="120" w:line="264" w:lineRule="auto"/>
      </w:pPr>
      <w:r>
        <w:rPr>
          <w:rFonts w:ascii="Aptos" w:hAnsi="Aptos"/>
          <w:b w:val="0"/>
          <w:i w:val="0"/>
          <w:color w:val="202421"/>
          <w:sz w:val="21"/>
        </w:rPr>
        <w:t>The architecture was refined based on implementation experience:</w:t>
      </w:r>
    </w:p>
    <w:p>
      <w:pPr>
        <w:pStyle w:val="ListBullet"/>
        <w:spacing w:after="80" w:line="264" w:lineRule="auto"/>
      </w:pPr>
      <w:r>
        <w:rPr>
          <w:rFonts w:ascii="Aptos" w:hAnsi="Aptos"/>
          <w:color w:val="202421"/>
          <w:sz w:val="20"/>
        </w:rPr>
        <w:t>Adopted window-bound session security model</w:t>
      </w:r>
    </w:p>
    <w:p>
      <w:pPr>
        <w:pStyle w:val="ListBullet"/>
        <w:spacing w:after="80" w:line="264" w:lineRule="auto"/>
      </w:pPr>
      <w:r>
        <w:rPr>
          <w:rFonts w:ascii="Aptos" w:hAnsi="Aptos"/>
          <w:color w:val="202421"/>
          <w:sz w:val="20"/>
        </w:rPr>
        <w:t>Implemented staged email delivery with redirect-all for testing</w:t>
      </w:r>
    </w:p>
    <w:p>
      <w:pPr>
        <w:pStyle w:val="ListBullet"/>
        <w:spacing w:after="80" w:line="264" w:lineRule="auto"/>
      </w:pPr>
      <w:r>
        <w:rPr>
          <w:rFonts w:ascii="Aptos" w:hAnsi="Aptos"/>
          <w:color w:val="202421"/>
          <w:sz w:val="20"/>
        </w:rPr>
        <w:t>Added comprehensive permission system beyond basic roles</w:t>
      </w:r>
    </w:p>
    <w:p>
      <w:pPr>
        <w:pStyle w:val="ListBullet"/>
        <w:spacing w:after="80" w:line="264" w:lineRule="auto"/>
      </w:pPr>
      <w:r>
        <w:rPr>
          <w:rFonts w:ascii="Aptos" w:hAnsi="Aptos"/>
          <w:color w:val="202421"/>
          <w:sz w:val="20"/>
        </w:rPr>
        <w:t>Configured division-aware staff scope with branch assignment</w:t>
      </w:r>
    </w:p>
    <w:p>
      <w:pPr>
        <w:pStyle w:val="Heading2"/>
      </w:pPr>
      <w:r>
        <w:t>7.3 Schedule Adjustments</w:t>
      </w:r>
    </w:p>
    <w:p>
      <w:pPr>
        <w:keepNext w:val="0"/>
        <w:spacing w:before="0" w:after="120" w:line="264" w:lineRule="auto"/>
      </w:pPr>
      <w:r>
        <w:rPr>
          <w:rFonts w:ascii="Aptos" w:hAnsi="Aptos"/>
          <w:b w:val="0"/>
          <w:i w:val="0"/>
          <w:color w:val="202421"/>
          <w:sz w:val="21"/>
        </w:rPr>
        <w:t>No significant schedule adjustments have been required. The project remains on track with the original timeline. Minor adjustments include:</w:t>
      </w:r>
    </w:p>
    <w:p>
      <w:pPr>
        <w:pStyle w:val="ListBullet"/>
        <w:spacing w:after="80" w:line="264" w:lineRule="auto"/>
      </w:pPr>
      <w:r>
        <w:rPr>
          <w:rFonts w:ascii="Aptos" w:hAnsi="Aptos"/>
          <w:color w:val="202421"/>
          <w:sz w:val="20"/>
        </w:rPr>
        <w:t>Overlapping work packages to maintain continuous progress</w:t>
      </w:r>
    </w:p>
    <w:p>
      <w:pPr>
        <w:pStyle w:val="ListBullet"/>
        <w:spacing w:after="80" w:line="264" w:lineRule="auto"/>
      </w:pPr>
      <w:r>
        <w:rPr>
          <w:rFonts w:ascii="Aptos" w:hAnsi="Aptos"/>
          <w:color w:val="202421"/>
          <w:sz w:val="20"/>
        </w:rPr>
        <w:t>Early start on asset/customer modules to validate architecture decisions</w:t>
      </w:r>
    </w:p>
    <w:p>
      <w:r>
        <w:br w:type="page"/>
      </w:r>
    </w:p>
    <w:p>
      <w:pPr>
        <w:pStyle w:val="Heading1"/>
      </w:pPr>
      <w:r>
        <w:t>8. Risk Management Update</w:t>
      </w:r>
    </w:p>
    <w:p>
      <w:pPr>
        <w:pStyle w:val="Heading2"/>
      </w:pPr>
      <w:r>
        <w:t>8.1 Current Risk Register</w:t>
      </w:r>
    </w:p>
    <w:tbl>
      <w:tblPr>
        <w:tblStyle w:val="TableGrid"/>
        <w:tblW w:type="dxa" w:w="9360"/>
        <w:tblLayout w:type="fixed"/>
        <w:tblLook w:firstColumn="1" w:firstRow="1" w:lastColumn="0" w:lastRow="0" w:noHBand="0" w:noVBand="1" w:val="04A0"/>
        <w:tblInd w:w="120" w:type="dxa"/>
      </w:tblPr>
      <w:tblGrid>
        <w:gridCol w:w="624"/>
        <w:gridCol w:w="2496"/>
        <w:gridCol w:w="499"/>
        <w:gridCol w:w="499"/>
        <w:gridCol w:w="873"/>
        <w:gridCol w:w="873"/>
        <w:gridCol w:w="3494"/>
      </w:tblGrid>
      <w:tr>
        <w:trPr>
          <w:tblHeader w:val="true"/>
        </w:trPr>
        <w:tc>
          <w:tcPr>
            <w:tcW w:type="dxa" w:w="62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249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Risk</w:t>
            </w:r>
          </w:p>
        </w:tc>
        <w:tc>
          <w:tcPr>
            <w:tcW w:type="dxa" w:w="499"/>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w:t>
            </w:r>
          </w:p>
        </w:tc>
        <w:tc>
          <w:tcPr>
            <w:tcW w:type="dxa" w:w="499"/>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w:t>
            </w:r>
          </w:p>
        </w:tc>
        <w:tc>
          <w:tcPr>
            <w:tcW w:type="dxa" w:w="873"/>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Score</w:t>
            </w:r>
          </w:p>
        </w:tc>
        <w:tc>
          <w:tcPr>
            <w:tcW w:type="dxa" w:w="873"/>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Status</w:t>
            </w:r>
          </w:p>
        </w:tc>
        <w:tc>
          <w:tcPr>
            <w:tcW w:type="dxa" w:w="349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Mitigation</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R1</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Requirements unclear/change late</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20 H</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Decision log, change control, fortnightly validation</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R2</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Scope exceeds capacity</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20 H</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MVP protection, MoSCoW priorities</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R3</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Authorization data leakage</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15 H</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Mitigated</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Server scope queries, negative tests, peer review</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R4</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Booking rules incorrect</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15 H</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Transactions, overlap tests, domain rules</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R5</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Equipment safety incomplete</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15 H</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Client validation, mandatory gates</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R6</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Credential exposure</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2</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10 M</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Mitigated</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Synthetic data, user secrets, scanning</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R7</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Member unavailability</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Pairing, shared docs, cross-training</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R8</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Late integration</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CI, fortnightly demos</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R9</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Client availability delays</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Early booking, focused questions</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R10</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Data loss</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2</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5</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10 M</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Mitigated</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GitHub remote, backup rehearsal</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R11</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Email misconfiguration</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2</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8 M</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Staging redirect-all, delivery log</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R12</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UI complexity</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Task language, progressive disclosure</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R13</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Report reconciliation</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Defined formulas, reconciliation tests</w:t>
            </w:r>
          </w:p>
        </w:tc>
      </w:tr>
      <w:tr>
        <w:trPr>
          <w:cantSplit/>
        </w:trPr>
        <w:tc>
          <w:tcPr>
            <w:tcW w:type="dxa" w:w="6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R14</w:t>
            </w:r>
          </w:p>
        </w:tc>
        <w:tc>
          <w:tcPr>
            <w:tcW w:type="dxa" w:w="24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Deployment owner unknown</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Active</w:t>
            </w:r>
          </w:p>
        </w:tc>
        <w:tc>
          <w:tcPr>
            <w:tcW w:type="dxa" w:w="349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5"/>
              </w:rPr>
              <w:t>Decision by W11, portable staging</w:t>
            </w:r>
          </w:p>
        </w:tc>
      </w:tr>
      <w:tr>
        <w:trPr>
          <w:cantSplit/>
        </w:trPr>
        <w:tc>
          <w:tcPr>
            <w:tcW w:type="dxa" w:w="624"/>
            <w:vAlign w:val="center"/>
            <w:tcMar>
              <w:top w:w="90" w:type="dxa"/>
              <w:bottom w:w="90" w:type="dxa"/>
              <w:start w:w="120" w:type="dxa"/>
              <w:end w:w="120" w:type="dxa"/>
            </w:tcMar>
          </w:tcPr>
          <w:p>
            <w:pPr>
              <w:spacing w:before="0" w:after="0" w:line="252" w:lineRule="auto"/>
            </w:pPr>
            <w:r/>
            <w:r>
              <w:rPr>
                <w:rFonts w:ascii="Aptos" w:hAnsi="Aptos"/>
                <w:b w:val="0"/>
                <w:color w:val="202421"/>
                <w:sz w:val="15"/>
              </w:rPr>
              <w:t>R15</w:t>
            </w:r>
          </w:p>
        </w:tc>
        <w:tc>
          <w:tcPr>
            <w:tcW w:type="dxa" w:w="2496"/>
            <w:vAlign w:val="center"/>
            <w:tcMar>
              <w:top w:w="90" w:type="dxa"/>
              <w:bottom w:w="90" w:type="dxa"/>
              <w:start w:w="120" w:type="dxa"/>
              <w:end w:w="120" w:type="dxa"/>
            </w:tcMar>
          </w:tcPr>
          <w:p>
            <w:pPr>
              <w:spacing w:before="0" w:after="0" w:line="252" w:lineRule="auto"/>
            </w:pPr>
            <w:r/>
            <w:r>
              <w:rPr>
                <w:rFonts w:ascii="Aptos" w:hAnsi="Aptos"/>
                <w:b w:val="0"/>
                <w:color w:val="202421"/>
                <w:sz w:val="15"/>
              </w:rPr>
              <w:t>Schedule delay</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3</w:t>
            </w:r>
          </w:p>
        </w:tc>
        <w:tc>
          <w:tcPr>
            <w:tcW w:type="dxa" w:w="499"/>
            <w:vAlign w:val="center"/>
            <w:tcMar>
              <w:top w:w="90" w:type="dxa"/>
              <w:bottom w:w="90" w:type="dxa"/>
              <w:start w:w="120" w:type="dxa"/>
              <w:end w:w="120" w:type="dxa"/>
            </w:tcMar>
          </w:tcPr>
          <w:p>
            <w:pPr>
              <w:spacing w:before="0" w:after="0" w:line="252" w:lineRule="auto"/>
            </w:pPr>
            <w:r/>
            <w:r>
              <w:rPr>
                <w:rFonts w:ascii="Aptos" w:hAnsi="Aptos"/>
                <w:b w:val="0"/>
                <w:color w:val="202421"/>
                <w:sz w:val="15"/>
              </w:rPr>
              <w:t>4</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12 M</w:t>
            </w:r>
          </w:p>
        </w:tc>
        <w:tc>
          <w:tcPr>
            <w:tcW w:type="dxa" w:w="873"/>
            <w:vAlign w:val="center"/>
            <w:tcMar>
              <w:top w:w="90" w:type="dxa"/>
              <w:bottom w:w="90" w:type="dxa"/>
              <w:start w:w="120" w:type="dxa"/>
              <w:end w:w="120" w:type="dxa"/>
            </w:tcMar>
          </w:tcPr>
          <w:p>
            <w:pPr>
              <w:spacing w:before="0" w:after="0" w:line="252" w:lineRule="auto"/>
            </w:pPr>
            <w:r/>
            <w:r>
              <w:rPr>
                <w:rFonts w:ascii="Aptos" w:hAnsi="Aptos"/>
                <w:b w:val="0"/>
                <w:color w:val="202421"/>
                <w:sz w:val="15"/>
              </w:rPr>
              <w:t>New</w:t>
            </w:r>
          </w:p>
        </w:tc>
        <w:tc>
          <w:tcPr>
            <w:tcW w:type="dxa" w:w="3494"/>
            <w:vAlign w:val="center"/>
            <w:tcMar>
              <w:top w:w="90" w:type="dxa"/>
              <w:bottom w:w="90" w:type="dxa"/>
              <w:start w:w="120" w:type="dxa"/>
              <w:end w:w="120" w:type="dxa"/>
            </w:tcMar>
          </w:tcPr>
          <w:p>
            <w:pPr>
              <w:spacing w:before="0" w:after="0" w:line="252" w:lineRule="auto"/>
            </w:pPr>
            <w:r/>
            <w:r>
              <w:rPr>
                <w:rFonts w:ascii="Aptos" w:hAnsi="Aptos"/>
                <w:b w:val="0"/>
                <w:color w:val="202421"/>
                <w:sz w:val="15"/>
              </w:rPr>
              <w:t>Scope substitution, 80% iteration target</w:t>
            </w:r>
          </w:p>
        </w:tc>
      </w:tr>
    </w:tbl>
    <w:p>
      <w:pPr>
        <w:spacing w:after="0"/>
      </w:pPr>
    </w:p>
    <w:p>
      <w:pPr>
        <w:pStyle w:val="Heading2"/>
      </w:pPr>
      <w:r>
        <w:t>8.2 New Risks Identified</w:t>
      </w:r>
    </w:p>
    <w:p>
      <w:pPr>
        <w:keepNext w:val="0"/>
        <w:spacing w:before="0" w:after="120" w:line="264" w:lineRule="auto"/>
      </w:pPr>
      <w:r>
        <w:rPr>
          <w:rFonts w:ascii="Aptos" w:hAnsi="Aptos"/>
          <w:b w:val="0"/>
          <w:i w:val="0"/>
          <w:color w:val="202421"/>
          <w:sz w:val="21"/>
        </w:rPr>
        <w:t>One new risk has been identified since the original plan:</w:t>
      </w:r>
    </w:p>
    <w:tbl>
      <w:tblPr>
        <w:tblStyle w:val="TableGrid"/>
        <w:tblW w:type="dxa" w:w="9360"/>
        <w:tblLayout w:type="fixed"/>
        <w:tblLook w:firstColumn="1" w:firstRow="1" w:lastColumn="0" w:lastRow="0" w:noHBand="0" w:noVBand="1" w:val="04A0"/>
        <w:tblInd w:w="120" w:type="dxa"/>
      </w:tblPr>
      <w:tblGrid>
        <w:gridCol w:w="585"/>
        <w:gridCol w:w="4095"/>
        <w:gridCol w:w="468"/>
        <w:gridCol w:w="468"/>
        <w:gridCol w:w="819"/>
        <w:gridCol w:w="2925"/>
      </w:tblGrid>
      <w:tr>
        <w:trPr>
          <w:tblHeader w:val="true"/>
        </w:trPr>
        <w:tc>
          <w:tcPr>
            <w:tcW w:type="dxa" w:w="58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09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Risk</w:t>
            </w:r>
          </w:p>
        </w:tc>
        <w:tc>
          <w:tcPr>
            <w:tcW w:type="dxa" w:w="46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w:t>
            </w:r>
          </w:p>
        </w:tc>
        <w:tc>
          <w:tcPr>
            <w:tcW w:type="dxa" w:w="46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w:t>
            </w:r>
          </w:p>
        </w:tc>
        <w:tc>
          <w:tcPr>
            <w:tcW w:type="dxa" w:w="819"/>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Score</w:t>
            </w:r>
          </w:p>
        </w:tc>
        <w:tc>
          <w:tcPr>
            <w:tcW w:type="dxa" w:w="292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Mitigation</w:t>
            </w:r>
          </w:p>
        </w:tc>
      </w:tr>
      <w:tr>
        <w:trPr>
          <w:cantSplit/>
        </w:trPr>
        <w:tc>
          <w:tcPr>
            <w:tcW w:type="dxa" w:w="585"/>
            <w:vAlign w:val="center"/>
            <w:tcMar>
              <w:top w:w="90" w:type="dxa"/>
              <w:bottom w:w="90" w:type="dxa"/>
              <w:start w:w="120" w:type="dxa"/>
              <w:end w:w="120" w:type="dxa"/>
            </w:tcMar>
          </w:tcPr>
          <w:p>
            <w:pPr>
              <w:spacing w:before="0" w:after="0" w:line="252" w:lineRule="auto"/>
            </w:pPr>
            <w:r/>
            <w:r>
              <w:rPr>
                <w:rFonts w:ascii="Aptos" w:hAnsi="Aptos"/>
                <w:b w:val="0"/>
                <w:color w:val="202421"/>
                <w:sz w:val="17"/>
              </w:rPr>
              <w:t>R15</w:t>
            </w:r>
          </w:p>
        </w:tc>
        <w:tc>
          <w:tcPr>
            <w:tcW w:type="dxa" w:w="4095"/>
            <w:vAlign w:val="center"/>
            <w:tcMar>
              <w:top w:w="90" w:type="dxa"/>
              <w:bottom w:w="90" w:type="dxa"/>
              <w:start w:w="120" w:type="dxa"/>
              <w:end w:w="120" w:type="dxa"/>
            </w:tcMar>
          </w:tcPr>
          <w:p>
            <w:pPr>
              <w:spacing w:before="0" w:after="0" w:line="252" w:lineRule="auto"/>
            </w:pPr>
            <w:r/>
            <w:r>
              <w:rPr>
                <w:rFonts w:ascii="Aptos" w:hAnsi="Aptos"/>
                <w:b w:val="0"/>
                <w:color w:val="202421"/>
                <w:sz w:val="17"/>
              </w:rPr>
              <w:t>Schedule delay due to requirements uncertainty</w:t>
            </w:r>
          </w:p>
        </w:tc>
        <w:tc>
          <w:tcPr>
            <w:tcW w:type="dxa" w:w="468"/>
            <w:vAlign w:val="center"/>
            <w:tcMar>
              <w:top w:w="90" w:type="dxa"/>
              <w:bottom w:w="90" w:type="dxa"/>
              <w:start w:w="120" w:type="dxa"/>
              <w:end w:w="120" w:type="dxa"/>
            </w:tcMar>
          </w:tcPr>
          <w:p>
            <w:pPr>
              <w:spacing w:before="0" w:after="0" w:line="252" w:lineRule="auto"/>
            </w:pPr>
            <w:r/>
            <w:r>
              <w:rPr>
                <w:rFonts w:ascii="Aptos" w:hAnsi="Aptos"/>
                <w:b w:val="0"/>
                <w:color w:val="202421"/>
                <w:sz w:val="17"/>
              </w:rPr>
              <w:t>3</w:t>
            </w:r>
          </w:p>
        </w:tc>
        <w:tc>
          <w:tcPr>
            <w:tcW w:type="dxa" w:w="468"/>
            <w:vAlign w:val="center"/>
            <w:tcMar>
              <w:top w:w="90" w:type="dxa"/>
              <w:bottom w:w="90" w:type="dxa"/>
              <w:start w:w="120" w:type="dxa"/>
              <w:end w:w="120" w:type="dxa"/>
            </w:tcMar>
          </w:tcPr>
          <w:p>
            <w:pPr>
              <w:spacing w:before="0" w:after="0" w:line="252" w:lineRule="auto"/>
            </w:pPr>
            <w:r/>
            <w:r>
              <w:rPr>
                <w:rFonts w:ascii="Aptos" w:hAnsi="Aptos"/>
                <w:b w:val="0"/>
                <w:color w:val="202421"/>
                <w:sz w:val="17"/>
              </w:rPr>
              <w:t>4</w:t>
            </w:r>
          </w:p>
        </w:tc>
        <w:tc>
          <w:tcPr>
            <w:tcW w:type="dxa" w:w="819"/>
            <w:vAlign w:val="center"/>
            <w:tcMar>
              <w:top w:w="90" w:type="dxa"/>
              <w:bottom w:w="90" w:type="dxa"/>
              <w:start w:w="120" w:type="dxa"/>
              <w:end w:w="120" w:type="dxa"/>
            </w:tcMar>
          </w:tcPr>
          <w:p>
            <w:pPr>
              <w:spacing w:before="0" w:after="0" w:line="252" w:lineRule="auto"/>
            </w:pPr>
            <w:r/>
            <w:r>
              <w:rPr>
                <w:rFonts w:ascii="Aptos" w:hAnsi="Aptos"/>
                <w:b w:val="0"/>
                <w:color w:val="202421"/>
                <w:sz w:val="17"/>
              </w:rPr>
              <w:t>12 M</w:t>
            </w:r>
          </w:p>
        </w:tc>
        <w:tc>
          <w:tcPr>
            <w:tcW w:type="dxa" w:w="2925"/>
            <w:vAlign w:val="center"/>
            <w:tcMar>
              <w:top w:w="90" w:type="dxa"/>
              <w:bottom w:w="90" w:type="dxa"/>
              <w:start w:w="120" w:type="dxa"/>
              <w:end w:w="120" w:type="dxa"/>
            </w:tcMar>
          </w:tcPr>
          <w:p>
            <w:pPr>
              <w:spacing w:before="0" w:after="0" w:line="252" w:lineRule="auto"/>
            </w:pPr>
            <w:r/>
            <w:r>
              <w:rPr>
                <w:rFonts w:ascii="Aptos" w:hAnsi="Aptos"/>
                <w:b w:val="0"/>
                <w:color w:val="202421"/>
                <w:sz w:val="17"/>
              </w:rPr>
              <w:t>Scope substitution policy, 80% iteration target, escalation after 2-day blockers</w:t>
            </w:r>
          </w:p>
        </w:tc>
      </w:tr>
    </w:tbl>
    <w:p>
      <w:pPr>
        <w:spacing w:after="0"/>
      </w:pPr>
    </w:p>
    <w:p>
      <w:pPr>
        <w:pStyle w:val="Heading2"/>
      </w:pPr>
      <w:r>
        <w:t>8.3 Risk Mitigation Progress</w:t>
      </w:r>
    </w:p>
    <w:p>
      <w:pPr>
        <w:keepNext w:val="0"/>
        <w:spacing w:before="0" w:after="120" w:line="264" w:lineRule="auto"/>
      </w:pPr>
      <w:r>
        <w:rPr>
          <w:rFonts w:ascii="Aptos" w:hAnsi="Aptos"/>
          <w:b w:val="0"/>
          <w:i w:val="0"/>
          <w:color w:val="202421"/>
          <w:sz w:val="21"/>
        </w:rPr>
        <w:t>The following risks have been effectively mitigated through implementation:</w:t>
      </w:r>
    </w:p>
    <w:p>
      <w:pPr>
        <w:pStyle w:val="ListBullet"/>
        <w:spacing w:after="80" w:line="264" w:lineRule="auto"/>
      </w:pPr>
      <w:r>
        <w:rPr>
          <w:rFonts w:ascii="Aptos" w:hAnsi="Aptos"/>
          <w:color w:val="202421"/>
          <w:sz w:val="20"/>
        </w:rPr>
        <w:t>R3 (Authorization): Implemented comprehensive server-side scope enforcement and negative testing</w:t>
      </w:r>
    </w:p>
    <w:p>
      <w:pPr>
        <w:pStyle w:val="ListBullet"/>
        <w:spacing w:after="80" w:line="264" w:lineRule="auto"/>
      </w:pPr>
      <w:r>
        <w:rPr>
          <w:rFonts w:ascii="Aptos" w:hAnsi="Aptos"/>
          <w:color w:val="202421"/>
          <w:sz w:val="20"/>
        </w:rPr>
        <w:t>R6 (Credentials): Established secret management, synthetic data policies, and repository scanning</w:t>
      </w:r>
    </w:p>
    <w:p>
      <w:pPr>
        <w:pStyle w:val="ListBullet"/>
        <w:spacing w:after="80" w:line="264" w:lineRule="auto"/>
      </w:pPr>
      <w:r>
        <w:rPr>
          <w:rFonts w:ascii="Aptos" w:hAnsi="Aptos"/>
          <w:color w:val="202421"/>
          <w:sz w:val="20"/>
        </w:rPr>
        <w:t>R10 (Data loss): Configured GitHub remote, protected branches, and backup/restore procedures</w:t>
      </w:r>
    </w:p>
    <w:p>
      <w:r>
        <w:br w:type="page"/>
      </w:r>
    </w:p>
    <w:p>
      <w:pPr>
        <w:pStyle w:val="Heading1"/>
      </w:pPr>
      <w:r>
        <w:t>9. Timeline for Remaining Deliverables</w:t>
      </w:r>
    </w:p>
    <w:tbl>
      <w:tblPr>
        <w:tblStyle w:val="TableGrid"/>
        <w:tblW w:type="dxa" w:w="9360"/>
        <w:tblLayout w:type="fixed"/>
        <w:tblLook w:firstColumn="1" w:firstRow="1" w:lastColumn="0" w:lastRow="0" w:noHBand="0" w:noVBand="1" w:val="04A0"/>
        <w:tblInd w:w="120" w:type="dxa"/>
      </w:tblPr>
      <w:tblGrid>
        <w:gridCol w:w="1025"/>
        <w:gridCol w:w="1923"/>
        <w:gridCol w:w="3205"/>
        <w:gridCol w:w="3205"/>
      </w:tblGrid>
      <w:tr>
        <w:trPr>
          <w:tblHeader w:val="true"/>
        </w:trPr>
        <w:tc>
          <w:tcPr>
            <w:tcW w:type="dxa" w:w="102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Week</w:t>
            </w:r>
          </w:p>
        </w:tc>
        <w:tc>
          <w:tcPr>
            <w:tcW w:type="dxa" w:w="1923"/>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Dates</w:t>
            </w:r>
          </w:p>
        </w:tc>
        <w:tc>
          <w:tcPr>
            <w:tcW w:type="dxa" w:w="32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Focus</w:t>
            </w:r>
          </w:p>
        </w:tc>
        <w:tc>
          <w:tcPr>
            <w:tcW w:type="dxa" w:w="32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Exit Deliverable</w:t>
            </w:r>
          </w:p>
        </w:tc>
      </w:tr>
      <w:tr>
        <w:trPr>
          <w:cantSplit/>
        </w:trPr>
        <w:tc>
          <w:tcPr>
            <w:tcW w:type="dxa" w:w="1025"/>
            <w:vAlign w:val="center"/>
            <w:tcMar>
              <w:top w:w="90" w:type="dxa"/>
              <w:bottom w:w="90" w:type="dxa"/>
              <w:start w:w="120" w:type="dxa"/>
              <w:end w:w="120" w:type="dxa"/>
            </w:tcMar>
          </w:tcPr>
          <w:p>
            <w:pPr>
              <w:spacing w:before="0" w:after="0" w:line="252" w:lineRule="auto"/>
            </w:pPr>
            <w:r/>
            <w:r>
              <w:rPr>
                <w:rFonts w:ascii="Aptos" w:hAnsi="Aptos"/>
                <w:b w:val="0"/>
                <w:color w:val="202421"/>
                <w:sz w:val="17"/>
              </w:rPr>
              <w:t>W5</w:t>
            </w:r>
          </w:p>
        </w:tc>
        <w:tc>
          <w:tcPr>
            <w:tcW w:type="dxa" w:w="1923"/>
            <w:vAlign w:val="center"/>
            <w:tcMar>
              <w:top w:w="90" w:type="dxa"/>
              <w:bottom w:w="90" w:type="dxa"/>
              <w:start w:w="120" w:type="dxa"/>
              <w:end w:w="120" w:type="dxa"/>
            </w:tcMar>
          </w:tcPr>
          <w:p>
            <w:pPr>
              <w:spacing w:before="0" w:after="0" w:line="252" w:lineRule="auto"/>
            </w:pPr>
            <w:r/>
            <w:r>
              <w:rPr>
                <w:rFonts w:ascii="Aptos" w:hAnsi="Aptos"/>
                <w:b w:val="0"/>
                <w:color w:val="202421"/>
                <w:sz w:val="17"/>
              </w:rPr>
              <w:t>7-11 Sep</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Complete asset module, categories, dynamic attributes</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M4: Asset-register demo</w:t>
            </w:r>
          </w:p>
        </w:tc>
      </w:tr>
      <w:tr>
        <w:trPr>
          <w:cantSplit/>
        </w:trPr>
        <w:tc>
          <w:tcPr>
            <w:tcW w:type="dxa" w:w="102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W6</w:t>
            </w:r>
          </w:p>
        </w:tc>
        <w:tc>
          <w:tcPr>
            <w:tcW w:type="dxa" w:w="192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14-18 Sep</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Availability, rates and quotations</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Rate configuration demo</w:t>
            </w:r>
          </w:p>
        </w:tc>
      </w:tr>
      <w:tr>
        <w:trPr>
          <w:cantSplit/>
        </w:trPr>
        <w:tc>
          <w:tcPr>
            <w:tcW w:type="dxa" w:w="1025"/>
            <w:vAlign w:val="center"/>
            <w:tcMar>
              <w:top w:w="90" w:type="dxa"/>
              <w:bottom w:w="90" w:type="dxa"/>
              <w:start w:w="120" w:type="dxa"/>
              <w:end w:w="120" w:type="dxa"/>
            </w:tcMar>
          </w:tcPr>
          <w:p>
            <w:pPr>
              <w:spacing w:before="0" w:after="0" w:line="252" w:lineRule="auto"/>
            </w:pPr>
            <w:r/>
            <w:r>
              <w:rPr>
                <w:rFonts w:ascii="Aptos" w:hAnsi="Aptos"/>
                <w:b w:val="0"/>
                <w:color w:val="202421"/>
                <w:sz w:val="17"/>
              </w:rPr>
              <w:t>W7</w:t>
            </w:r>
          </w:p>
        </w:tc>
        <w:tc>
          <w:tcPr>
            <w:tcW w:type="dxa" w:w="1923"/>
            <w:vAlign w:val="center"/>
            <w:tcMar>
              <w:top w:w="90" w:type="dxa"/>
              <w:bottom w:w="90" w:type="dxa"/>
              <w:start w:w="120" w:type="dxa"/>
              <w:end w:w="120" w:type="dxa"/>
            </w:tcMar>
          </w:tcPr>
          <w:p>
            <w:pPr>
              <w:spacing w:before="0" w:after="0" w:line="252" w:lineRule="auto"/>
            </w:pPr>
            <w:r/>
            <w:r>
              <w:rPr>
                <w:rFonts w:ascii="Aptos" w:hAnsi="Aptos"/>
                <w:b w:val="0"/>
                <w:color w:val="202421"/>
                <w:sz w:val="17"/>
              </w:rPr>
              <w:t>21-25 Sep</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Bookings, approvals, agreements, notifications</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M5: Quotation-to-booking demo</w:t>
            </w:r>
          </w:p>
        </w:tc>
      </w:tr>
      <w:tr>
        <w:trPr>
          <w:cantSplit/>
        </w:trPr>
        <w:tc>
          <w:tcPr>
            <w:tcW w:type="dxa" w:w="102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W8</w:t>
            </w:r>
          </w:p>
        </w:tc>
        <w:tc>
          <w:tcPr>
            <w:tcW w:type="dxa" w:w="192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28 Sep-2 Oct</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Pre-hire, QR check-out, return, post-hire inspection</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M6: Motors lifecycle demo</w:t>
            </w:r>
          </w:p>
        </w:tc>
      </w:tr>
      <w:tr>
        <w:trPr>
          <w:cantSplit/>
        </w:trPr>
        <w:tc>
          <w:tcPr>
            <w:tcW w:type="dxa" w:w="1025"/>
            <w:vAlign w:val="center"/>
            <w:tcMar>
              <w:top w:w="90" w:type="dxa"/>
              <w:bottom w:w="90" w:type="dxa"/>
              <w:start w:w="120" w:type="dxa"/>
              <w:end w:w="120" w:type="dxa"/>
            </w:tcMar>
          </w:tcPr>
          <w:p>
            <w:pPr>
              <w:spacing w:before="0" w:after="0" w:line="252" w:lineRule="auto"/>
            </w:pPr>
            <w:r/>
            <w:r>
              <w:rPr>
                <w:rFonts w:ascii="Aptos" w:hAnsi="Aptos"/>
                <w:b w:val="0"/>
                <w:color w:val="202421"/>
                <w:sz w:val="17"/>
              </w:rPr>
              <w:t>W9</w:t>
            </w:r>
          </w:p>
        </w:tc>
        <w:tc>
          <w:tcPr>
            <w:tcW w:type="dxa" w:w="1923"/>
            <w:vAlign w:val="center"/>
            <w:tcMar>
              <w:top w:w="90" w:type="dxa"/>
              <w:bottom w:w="90" w:type="dxa"/>
              <w:start w:w="120" w:type="dxa"/>
              <w:end w:w="120" w:type="dxa"/>
            </w:tcMar>
          </w:tcPr>
          <w:p>
            <w:pPr>
              <w:spacing w:before="0" w:after="0" w:line="252" w:lineRule="auto"/>
            </w:pPr>
            <w:r/>
            <w:r>
              <w:rPr>
                <w:rFonts w:ascii="Aptos" w:hAnsi="Aptos"/>
                <w:b w:val="0"/>
                <w:color w:val="202421"/>
                <w:sz w:val="17"/>
              </w:rPr>
              <w:t>5-9 Oct</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Maintenance, damage and detailed expenditure</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Maintenance module demo</w:t>
            </w:r>
          </w:p>
        </w:tc>
      </w:tr>
      <w:tr>
        <w:trPr>
          <w:cantSplit/>
        </w:trPr>
        <w:tc>
          <w:tcPr>
            <w:tcW w:type="dxa" w:w="102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W10</w:t>
            </w:r>
          </w:p>
        </w:tc>
        <w:tc>
          <w:tcPr>
            <w:tcW w:type="dxa" w:w="192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12-16 Oct</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Carptrac personnel and equipment-hire variations</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M7: Carptrac lifecycle demo</w:t>
            </w:r>
          </w:p>
        </w:tc>
      </w:tr>
      <w:tr>
        <w:trPr>
          <w:cantSplit/>
        </w:trPr>
        <w:tc>
          <w:tcPr>
            <w:tcW w:type="dxa" w:w="1025"/>
            <w:vAlign w:val="center"/>
            <w:tcMar>
              <w:top w:w="90" w:type="dxa"/>
              <w:bottom w:w="90" w:type="dxa"/>
              <w:start w:w="120" w:type="dxa"/>
              <w:end w:w="120" w:type="dxa"/>
            </w:tcMar>
          </w:tcPr>
          <w:p>
            <w:pPr>
              <w:spacing w:before="0" w:after="0" w:line="252" w:lineRule="auto"/>
            </w:pPr>
            <w:r/>
            <w:r>
              <w:rPr>
                <w:rFonts w:ascii="Aptos" w:hAnsi="Aptos"/>
                <w:b w:val="0"/>
                <w:color w:val="202421"/>
                <w:sz w:val="17"/>
              </w:rPr>
              <w:t>W11</w:t>
            </w:r>
          </w:p>
        </w:tc>
        <w:tc>
          <w:tcPr>
            <w:tcW w:type="dxa" w:w="1923"/>
            <w:vAlign w:val="center"/>
            <w:tcMar>
              <w:top w:w="90" w:type="dxa"/>
              <w:bottom w:w="90" w:type="dxa"/>
              <w:start w:w="120" w:type="dxa"/>
              <w:end w:w="120" w:type="dxa"/>
            </w:tcMar>
          </w:tcPr>
          <w:p>
            <w:pPr>
              <w:spacing w:before="0" w:after="0" w:line="252" w:lineRule="auto"/>
            </w:pPr>
            <w:r/>
            <w:r>
              <w:rPr>
                <w:rFonts w:ascii="Aptos" w:hAnsi="Aptos"/>
                <w:b w:val="0"/>
                <w:color w:val="202421"/>
                <w:sz w:val="17"/>
              </w:rPr>
              <w:t>19-23 Oct</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Dashboards, profitability, integration and UAT</w:t>
            </w:r>
          </w:p>
        </w:tc>
        <w:tc>
          <w:tcPr>
            <w:tcW w:type="dxa" w:w="3205"/>
            <w:vAlign w:val="center"/>
            <w:tcMar>
              <w:top w:w="90" w:type="dxa"/>
              <w:bottom w:w="90" w:type="dxa"/>
              <w:start w:w="120" w:type="dxa"/>
              <w:end w:w="120" w:type="dxa"/>
            </w:tcMar>
          </w:tcPr>
          <w:p>
            <w:pPr>
              <w:spacing w:before="0" w:after="0" w:line="252" w:lineRule="auto"/>
            </w:pPr>
            <w:r/>
            <w:r>
              <w:rPr>
                <w:rFonts w:ascii="Aptos" w:hAnsi="Aptos"/>
                <w:b w:val="0"/>
                <w:color w:val="202421"/>
                <w:sz w:val="17"/>
              </w:rPr>
              <w:t>Feature-complete build</w:t>
            </w:r>
          </w:p>
        </w:tc>
      </w:tr>
      <w:tr>
        <w:trPr>
          <w:cantSplit/>
        </w:trPr>
        <w:tc>
          <w:tcPr>
            <w:tcW w:type="dxa" w:w="102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W12</w:t>
            </w:r>
          </w:p>
        </w:tc>
        <w:tc>
          <w:tcPr>
            <w:tcW w:type="dxa" w:w="1923"/>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26-30 Oct</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Stabilization, handover and closure</w:t>
            </w:r>
          </w:p>
        </w:tc>
        <w:tc>
          <w:tcPr>
            <w:tcW w:type="dxa" w:w="32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M8: Final handover</w:t>
            </w:r>
          </w:p>
        </w:tc>
      </w:tr>
    </w:tbl>
    <w:p>
      <w:pPr>
        <w:spacing w:after="0"/>
      </w:pPr>
    </w:p>
    <w:p>
      <w:pPr>
        <w:pStyle w:val="Heading2"/>
      </w:pPr>
      <w:r>
        <w:t>9.1 Critical Path</w:t>
      </w:r>
    </w:p>
    <w:p>
      <w:pPr>
        <w:keepNext w:val="0"/>
        <w:spacing w:before="0" w:after="120" w:line="264" w:lineRule="auto"/>
      </w:pPr>
      <w:r>
        <w:rPr>
          <w:rFonts w:ascii="Aptos" w:hAnsi="Aptos"/>
          <w:b w:val="0"/>
          <w:i w:val="0"/>
          <w:color w:val="202421"/>
          <w:sz w:val="21"/>
        </w:rPr>
        <w:t>The critical path for remaining work includes:</w:t>
      </w:r>
    </w:p>
    <w:p>
      <w:pPr>
        <w:pStyle w:val="ListBullet"/>
        <w:spacing w:after="80" w:line="264" w:lineRule="auto"/>
      </w:pPr>
      <w:r>
        <w:rPr>
          <w:rFonts w:ascii="Aptos" w:hAnsi="Aptos"/>
          <w:color w:val="202421"/>
          <w:sz w:val="20"/>
        </w:rPr>
        <w:t>Asset/service catalogue completion (W6)</w:t>
      </w:r>
    </w:p>
    <w:p>
      <w:pPr>
        <w:pStyle w:val="ListBullet"/>
        <w:spacing w:after="80" w:line="264" w:lineRule="auto"/>
      </w:pPr>
      <w:r>
        <w:rPr>
          <w:rFonts w:ascii="Aptos" w:hAnsi="Aptos"/>
          <w:color w:val="202421"/>
          <w:sz w:val="20"/>
        </w:rPr>
        <w:t>Availability and booking rules (W7-8)</w:t>
      </w:r>
    </w:p>
    <w:p>
      <w:pPr>
        <w:pStyle w:val="ListBullet"/>
        <w:spacing w:after="80" w:line="264" w:lineRule="auto"/>
      </w:pPr>
      <w:r>
        <w:rPr>
          <w:rFonts w:ascii="Aptos" w:hAnsi="Aptos"/>
          <w:color w:val="202421"/>
          <w:sz w:val="20"/>
        </w:rPr>
        <w:t>Agreement and checkout workflow (W9)</w:t>
      </w:r>
    </w:p>
    <w:p>
      <w:pPr>
        <w:pStyle w:val="ListBullet"/>
        <w:spacing w:after="80" w:line="264" w:lineRule="auto"/>
      </w:pPr>
      <w:r>
        <w:rPr>
          <w:rFonts w:ascii="Aptos" w:hAnsi="Aptos"/>
          <w:color w:val="202421"/>
          <w:sz w:val="20"/>
        </w:rPr>
        <w:t>Return and maintenance processing (W10)</w:t>
      </w:r>
    </w:p>
    <w:p>
      <w:pPr>
        <w:pStyle w:val="ListBullet"/>
        <w:spacing w:after="80" w:line="264" w:lineRule="auto"/>
      </w:pPr>
      <w:r>
        <w:rPr>
          <w:rFonts w:ascii="Aptos" w:hAnsi="Aptos"/>
          <w:color w:val="202421"/>
          <w:sz w:val="20"/>
        </w:rPr>
        <w:t>Client UAT and acceptance (W13)</w:t>
      </w:r>
    </w:p>
    <w:p>
      <w:pPr>
        <w:pStyle w:val="Heading2"/>
      </w:pPr>
      <w:r>
        <w:t>9.2 Upcoming Client Decisions</w:t>
      </w:r>
    </w:p>
    <w:p>
      <w:pPr>
        <w:keepNext w:val="0"/>
        <w:spacing w:before="0" w:after="120" w:line="264" w:lineRule="auto"/>
      </w:pPr>
      <w:r>
        <w:rPr>
          <w:rFonts w:ascii="Aptos" w:hAnsi="Aptos"/>
          <w:b w:val="0"/>
          <w:i w:val="0"/>
          <w:color w:val="202421"/>
          <w:sz w:val="21"/>
        </w:rPr>
        <w:t>The following client decisions are required to maintain schedule:</w:t>
      </w:r>
    </w:p>
    <w:tbl>
      <w:tblPr>
        <w:tblStyle w:val="TableGrid"/>
        <w:tblW w:type="dxa" w:w="9360"/>
        <w:tblLayout w:type="fixed"/>
        <w:tblLook w:firstColumn="1" w:firstRow="1" w:lastColumn="0" w:lastRow="0" w:noHBand="0" w:noVBand="1" w:val="04A0"/>
        <w:tblInd w:w="120" w:type="dxa"/>
      </w:tblPr>
      <w:tblGrid>
        <w:gridCol w:w="3342"/>
        <w:gridCol w:w="2005"/>
        <w:gridCol w:w="4011"/>
      </w:tblGrid>
      <w:tr>
        <w:trPr>
          <w:tblHeader w:val="true"/>
        </w:trPr>
        <w:tc>
          <w:tcPr>
            <w:tcW w:type="dxa" w:w="334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Decision</w:t>
            </w:r>
          </w:p>
        </w:tc>
        <w:tc>
          <w:tcPr>
            <w:tcW w:type="dxa" w:w="20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Required By</w:t>
            </w:r>
          </w:p>
        </w:tc>
        <w:tc>
          <w:tcPr>
            <w:tcW w:type="dxa" w:w="401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Impact if Delayed</w:t>
            </w:r>
          </w:p>
        </w:tc>
      </w:tr>
      <w:tr>
        <w:trPr>
          <w:cantSplit/>
        </w:trPr>
        <w:tc>
          <w:tcPr>
            <w:tcW w:type="dxa" w:w="3342"/>
            <w:vAlign w:val="center"/>
            <w:tcMar>
              <w:top w:w="90" w:type="dxa"/>
              <w:bottom w:w="90" w:type="dxa"/>
              <w:start w:w="120" w:type="dxa"/>
              <w:end w:w="120" w:type="dxa"/>
            </w:tcMar>
          </w:tcPr>
          <w:p>
            <w:pPr>
              <w:spacing w:before="0" w:after="0" w:line="252" w:lineRule="auto"/>
            </w:pPr>
            <w:r/>
            <w:r>
              <w:rPr>
                <w:rFonts w:ascii="Aptos" w:hAnsi="Aptos"/>
                <w:b w:val="0"/>
                <w:color w:val="202421"/>
                <w:sz w:val="17"/>
              </w:rPr>
              <w:t>Pricing and approval rules</w:t>
            </w:r>
          </w:p>
        </w:tc>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7"/>
              </w:rPr>
              <w:t>Before W7</w:t>
            </w:r>
          </w:p>
        </w:tc>
        <w:tc>
          <w:tcPr>
            <w:tcW w:type="dxa" w:w="4011"/>
            <w:vAlign w:val="center"/>
            <w:tcMar>
              <w:top w:w="90" w:type="dxa"/>
              <w:bottom w:w="90" w:type="dxa"/>
              <w:start w:w="120" w:type="dxa"/>
              <w:end w:w="120" w:type="dxa"/>
            </w:tcMar>
          </w:tcPr>
          <w:p>
            <w:pPr>
              <w:spacing w:before="0" w:after="0" w:line="252" w:lineRule="auto"/>
            </w:pPr>
            <w:r/>
            <w:r>
              <w:rPr>
                <w:rFonts w:ascii="Aptos" w:hAnsi="Aptos"/>
                <w:b w:val="0"/>
                <w:color w:val="202421"/>
                <w:sz w:val="17"/>
              </w:rPr>
              <w:t>Cannot implement quotation engine</w:t>
            </w:r>
          </w:p>
        </w:tc>
      </w:tr>
      <w:tr>
        <w:trPr>
          <w:cantSplit/>
        </w:trPr>
        <w:tc>
          <w:tcPr>
            <w:tcW w:type="dxa" w:w="334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Inspection template confirmation</w:t>
            </w:r>
          </w:p>
        </w:tc>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Before W9</w:t>
            </w:r>
          </w:p>
        </w:tc>
        <w:tc>
          <w:tcPr>
            <w:tcW w:type="dxa" w:w="4011"/>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Cannot finalize checkout workflow</w:t>
            </w:r>
          </w:p>
        </w:tc>
      </w:tr>
      <w:tr>
        <w:trPr>
          <w:cantSplit/>
        </w:trPr>
        <w:tc>
          <w:tcPr>
            <w:tcW w:type="dxa" w:w="3342"/>
            <w:vAlign w:val="center"/>
            <w:tcMar>
              <w:top w:w="90" w:type="dxa"/>
              <w:bottom w:w="90" w:type="dxa"/>
              <w:start w:w="120" w:type="dxa"/>
              <w:end w:w="120" w:type="dxa"/>
            </w:tcMar>
          </w:tcPr>
          <w:p>
            <w:pPr>
              <w:spacing w:before="0" w:after="0" w:line="252" w:lineRule="auto"/>
            </w:pPr>
            <w:r/>
            <w:r>
              <w:rPr>
                <w:rFonts w:ascii="Aptos" w:hAnsi="Aptos"/>
                <w:b w:val="0"/>
                <w:color w:val="202421"/>
                <w:sz w:val="17"/>
              </w:rPr>
              <w:t>Corporate account rules</w:t>
            </w:r>
          </w:p>
        </w:tc>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7"/>
              </w:rPr>
              <w:t>Before W7</w:t>
            </w:r>
          </w:p>
        </w:tc>
        <w:tc>
          <w:tcPr>
            <w:tcW w:type="dxa" w:w="4011"/>
            <w:vAlign w:val="center"/>
            <w:tcMar>
              <w:top w:w="90" w:type="dxa"/>
              <w:bottom w:w="90" w:type="dxa"/>
              <w:start w:w="120" w:type="dxa"/>
              <w:end w:w="120" w:type="dxa"/>
            </w:tcMar>
          </w:tcPr>
          <w:p>
            <w:pPr>
              <w:spacing w:before="0" w:after="0" w:line="252" w:lineRule="auto"/>
            </w:pPr>
            <w:r/>
            <w:r>
              <w:rPr>
                <w:rFonts w:ascii="Aptos" w:hAnsi="Aptos"/>
                <w:b w:val="0"/>
                <w:color w:val="202421"/>
                <w:sz w:val="17"/>
              </w:rPr>
              <w:t>Cannot complete corporate features</w:t>
            </w:r>
          </w:p>
        </w:tc>
      </w:tr>
      <w:tr>
        <w:trPr>
          <w:cantSplit/>
        </w:trPr>
        <w:tc>
          <w:tcPr>
            <w:tcW w:type="dxa" w:w="334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Deployment infrastructure</w:t>
            </w:r>
          </w:p>
        </w:tc>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Before W11</w:t>
            </w:r>
          </w:p>
        </w:tc>
        <w:tc>
          <w:tcPr>
            <w:tcW w:type="dxa" w:w="4011"/>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Cannot prepare production environment</w:t>
            </w:r>
          </w:p>
        </w:tc>
      </w:tr>
    </w:tbl>
    <w:p>
      <w:pPr>
        <w:spacing w:after="0"/>
      </w:pPr>
    </w:p>
    <w:p>
      <w:r>
        <w:br w:type="page"/>
      </w:r>
    </w:p>
    <w:p>
      <w:pPr>
        <w:pStyle w:val="Heading1"/>
      </w:pPr>
      <w:r>
        <w:t>10. Conclusion</w:t>
      </w:r>
    </w:p>
    <w:p>
      <w:pPr>
        <w:keepNext w:val="0"/>
        <w:spacing w:before="0" w:after="120" w:line="264" w:lineRule="auto"/>
      </w:pPr>
      <w:r>
        <w:rPr>
          <w:rFonts w:ascii="Aptos" w:hAnsi="Aptos"/>
          <w:b w:val="0"/>
          <w:i w:val="0"/>
          <w:color w:val="202421"/>
          <w:sz w:val="21"/>
        </w:rPr>
        <w:t>The CREMS project has completed its first five weeks on schedule with all planned milestones achieved. The requirements baseline has been established, the system architecture is implemented, and significant progress has been made on identity, access management, and core domain entities.</w:t>
      </w:r>
    </w:p>
    <w:p>
      <w:pPr>
        <w:keepNext w:val="0"/>
        <w:spacing w:before="0" w:after="120" w:line="264" w:lineRule="auto"/>
      </w:pPr>
      <w:r>
        <w:rPr>
          <w:rFonts w:ascii="Aptos" w:hAnsi="Aptos"/>
          <w:b w:val="0"/>
          <w:i w:val="0"/>
          <w:color w:val="202421"/>
          <w:sz w:val="21"/>
        </w:rPr>
        <w:t>Key achievements include:</w:t>
      </w:r>
    </w:p>
    <w:p>
      <w:pPr>
        <w:pStyle w:val="ListBullet"/>
        <w:spacing w:after="80" w:line="264" w:lineRule="auto"/>
      </w:pPr>
      <w:r>
        <w:rPr>
          <w:rFonts w:ascii="Aptos" w:hAnsi="Aptos"/>
          <w:color w:val="202421"/>
          <w:sz w:val="20"/>
        </w:rPr>
        <w:t>Approved SRS document with 130+ functional requirements across 10 domains</w:t>
      </w:r>
    </w:p>
    <w:p>
      <w:pPr>
        <w:pStyle w:val="ListBullet"/>
        <w:spacing w:after="80" w:line="264" w:lineRule="auto"/>
      </w:pPr>
      <w:r>
        <w:rPr>
          <w:rFonts w:ascii="Aptos" w:hAnsi="Aptos"/>
          <w:color w:val="202421"/>
          <w:sz w:val="20"/>
        </w:rPr>
        <w:t>Implemented secure authentication with role-based access and division/branch scoping</w:t>
      </w:r>
    </w:p>
    <w:p>
      <w:pPr>
        <w:pStyle w:val="ListBullet"/>
        <w:spacing w:after="80" w:line="264" w:lineRule="auto"/>
      </w:pPr>
      <w:r>
        <w:rPr>
          <w:rFonts w:ascii="Aptos" w:hAnsi="Aptos"/>
          <w:color w:val="202421"/>
          <w:sz w:val="20"/>
        </w:rPr>
        <w:t>Established modular architecture supporting configurable division capabilities</w:t>
      </w:r>
    </w:p>
    <w:p>
      <w:pPr>
        <w:pStyle w:val="ListBullet"/>
        <w:spacing w:after="80" w:line="264" w:lineRule="auto"/>
      </w:pPr>
      <w:r>
        <w:rPr>
          <w:rFonts w:ascii="Aptos" w:hAnsi="Aptos"/>
          <w:color w:val="202421"/>
          <w:sz w:val="20"/>
        </w:rPr>
        <w:t>Developed comprehensive FSD translating requirements into observable behavior</w:t>
      </w:r>
    </w:p>
    <w:p>
      <w:pPr>
        <w:pStyle w:val="ListBullet"/>
        <w:spacing w:after="80" w:line="264" w:lineRule="auto"/>
      </w:pPr>
      <w:r>
        <w:rPr>
          <w:rFonts w:ascii="Aptos" w:hAnsi="Aptos"/>
          <w:color w:val="202421"/>
          <w:sz w:val="20"/>
        </w:rPr>
        <w:t>Maintained effective client communication through fortnightly checkpoints</w:t>
      </w:r>
    </w:p>
    <w:p>
      <w:pPr>
        <w:keepNext w:val="0"/>
        <w:spacing w:before="0" w:after="120" w:line="264" w:lineRule="auto"/>
      </w:pPr>
      <w:r>
        <w:rPr>
          <w:rFonts w:ascii="Aptos" w:hAnsi="Aptos"/>
          <w:b w:val="0"/>
          <w:i w:val="0"/>
          <w:color w:val="202421"/>
          <w:sz w:val="21"/>
        </w:rPr>
        <w:t>The primary risks remain requirements uncertainty and scope management, both of which are being actively mitigated through the requirements register, change control, and client engagement processes. No schedule adjustments are currently required.</w:t>
      </w:r>
    </w:p>
    <w:p>
      <w:pPr>
        <w:keepNext w:val="0"/>
        <w:spacing w:before="0" w:after="120" w:line="264" w:lineRule="auto"/>
      </w:pPr>
      <w:r>
        <w:rPr>
          <w:rFonts w:ascii="Aptos" w:hAnsi="Aptos"/>
          <w:b w:val="0"/>
          <w:i w:val="0"/>
          <w:color w:val="202421"/>
          <w:sz w:val="21"/>
        </w:rPr>
        <w:t>The team remains confident in delivering the CREMS MVP within the planned 14-week timeline, meeting all academic and client acceptance criteria.</w:t>
      </w:r>
    </w:p>
    <w:p>
      <w:r>
        <w:br w:type="page"/>
      </w:r>
    </w:p>
    <w:p>
      <w:pPr>
        <w:pStyle w:val="Heading1"/>
      </w:pPr>
      <w:r>
        <w:t>Appendix A - SRS Summary</w:t>
      </w:r>
    </w:p>
    <w:p>
      <w:pPr>
        <w:keepNext w:val="0"/>
        <w:spacing w:before="0" w:after="120" w:line="264" w:lineRule="auto"/>
      </w:pPr>
      <w:r>
        <w:rPr>
          <w:rFonts w:ascii="Aptos" w:hAnsi="Aptos"/>
          <w:b w:val="0"/>
          <w:i w:val="0"/>
          <w:color w:val="202421"/>
          <w:sz w:val="21"/>
        </w:rPr>
        <w:t>The complete Software Requirements Specification v1.0 (CREMS_Software_Requirements_Specification_v1.0.pdf) is available alongside this report. Key sections include:</w:t>
      </w:r>
    </w:p>
    <w:tbl>
      <w:tblPr>
        <w:tblStyle w:val="TableGrid"/>
        <w:tblW w:type="dxa" w:w="9360"/>
        <w:tblLayout w:type="fixed"/>
        <w:tblLook w:firstColumn="1" w:firstRow="1" w:lastColumn="0" w:lastRow="0" w:noHBand="0" w:noVBand="1" w:val="04A0"/>
        <w:tblInd w:w="120" w:type="dxa"/>
      </w:tblPr>
      <w:tblGrid>
        <w:gridCol w:w="2005"/>
        <w:gridCol w:w="7354"/>
      </w:tblGrid>
      <w:tr>
        <w:trPr>
          <w:tblHeader w:val="true"/>
        </w:trPr>
        <w:tc>
          <w:tcPr>
            <w:tcW w:type="dxa" w:w="20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Section</w:t>
            </w:r>
          </w:p>
        </w:tc>
        <w:tc>
          <w:tcPr>
            <w:tcW w:type="dxa" w:w="735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Description</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 Introduction</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Purpose, product vision, definitions, and requirement priority language</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2. Stakeholders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User classes and their primary responsibilities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3. Scope Baseline</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In-scope, out-of-scope, assumptions, and dependencies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4. Functional Requirements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130+ requirements across 10 functional domains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5. Business Rules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15 core business rules governing operations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6. Data Requirements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Logical data structure and client-supplied data mapping</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7. External Interfaces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Web UI, REST API, database, email, QR scanner, PDF</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8. Non-Functional Reqs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Security, performance, reliability, usability, maintainability</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9. Reporting</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Role-specific dashboards and reports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10. Acceptance</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UAT scenarios and traceability</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11. Open Decisions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12 decisions requiring Carpenters confirmation</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12. Change Control</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Change management process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13. Client Sign-off</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Approval and signature section</w:t>
            </w:r>
          </w:p>
        </w:tc>
      </w:tr>
    </w:tbl>
    <w:p>
      <w:pPr>
        <w:spacing w:after="0"/>
      </w:pPr>
    </w:p>
    <w:p>
      <w:r>
        <w:br w:type="page"/>
      </w:r>
    </w:p>
    <w:p>
      <w:pPr>
        <w:pStyle w:val="Heading1"/>
      </w:pPr>
      <w:r>
        <w:t>Appendix B - Design Document Summary</w:t>
      </w:r>
    </w:p>
    <w:p>
      <w:pPr>
        <w:keepNext w:val="0"/>
        <w:spacing w:before="0" w:after="120" w:line="264" w:lineRule="auto"/>
      </w:pPr>
      <w:r>
        <w:rPr>
          <w:rFonts w:ascii="Aptos" w:hAnsi="Aptos"/>
          <w:b w:val="0"/>
          <w:i w:val="0"/>
          <w:color w:val="202421"/>
          <w:sz w:val="21"/>
        </w:rPr>
        <w:t>The complete Functional Specification Document v1.0 (CREMS_Functional_Specification_Document_v1.0.pdf) is available alongside this report. Key sections include:</w:t>
      </w:r>
    </w:p>
    <w:tbl>
      <w:tblPr>
        <w:tblStyle w:val="TableGrid"/>
        <w:tblW w:type="dxa" w:w="9360"/>
        <w:tblLayout w:type="fixed"/>
        <w:tblLook w:firstColumn="1" w:firstRow="1" w:lastColumn="0" w:lastRow="0" w:noHBand="0" w:noVBand="1" w:val="04A0"/>
        <w:tblInd w:w="120" w:type="dxa"/>
      </w:tblPr>
      <w:tblGrid>
        <w:gridCol w:w="2005"/>
        <w:gridCol w:w="7354"/>
      </w:tblGrid>
      <w:tr>
        <w:trPr>
          <w:tblHeader w:val="true"/>
        </w:trPr>
        <w:tc>
          <w:tcPr>
            <w:tcW w:type="dxa" w:w="2005"/>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Section</w:t>
            </w:r>
          </w:p>
        </w:tc>
        <w:tc>
          <w:tcPr>
            <w:tcW w:type="dxa" w:w="735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Description</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 Introduction</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Purpose, in-scope divisions, functional boundaries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2. Architecture</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System context, functional design principles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3. Roles &amp; Permissions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Role definitions and permission rules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4. UI Behavior</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Common user interface patterns and standards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5. Authentication</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Staff/customer auth, sessions, access administration</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6. Organization</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Divisions, branches, services configuration</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7. Customers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Customer records and portal functions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8. Assets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Asset register, QR, lifecycle, availability</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9. Bookings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Requests, quotations, approvals workflow</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10. Rentals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Pickup, agreements, active hire, returns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11. Maintenance</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Inspections and maintenance processing</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12. Personnel</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Operators, drivers, field operations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13. Finance</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Invoicing, profitability, dashboards</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14. Notifications</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Email, documents, scheduled processing</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15. API/Validation</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API conventions, errors, audit behavior</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16. Acceptance</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Functional acceptance scenarios</w:t>
            </w:r>
          </w:p>
        </w:tc>
      </w:tr>
      <w:tr>
        <w:trPr>
          <w:cantSplit/>
        </w:trPr>
        <w:tc>
          <w:tcPr>
            <w:tcW w:type="dxa" w:w="2005"/>
            <w:vAlign w:val="center"/>
            <w:tcMar>
              <w:top w:w="90" w:type="dxa"/>
              <w:bottom w:w="90" w:type="dxa"/>
              <w:start w:w="120" w:type="dxa"/>
              <w:end w:w="120" w:type="dxa"/>
            </w:tcMar>
          </w:tcPr>
          <w:p>
            <w:pPr>
              <w:spacing w:before="0" w:after="0" w:line="252" w:lineRule="auto"/>
            </w:pPr>
            <w:r/>
            <w:r>
              <w:rPr>
                <w:rFonts w:ascii="Aptos" w:hAnsi="Aptos"/>
                <w:b w:val="0"/>
                <w:color w:val="202421"/>
                <w:sz w:val="18"/>
              </w:rPr>
              <w:t>17. Assumptions</w:t>
            </w:r>
          </w:p>
        </w:tc>
        <w:tc>
          <w:tcPr>
            <w:tcW w:type="dxa" w:w="7354"/>
            <w:vAlign w:val="center"/>
            <w:tcMar>
              <w:top w:w="90" w:type="dxa"/>
              <w:bottom w:w="90" w:type="dxa"/>
              <w:start w:w="120" w:type="dxa"/>
              <w:end w:w="120" w:type="dxa"/>
            </w:tcMar>
          </w:tcPr>
          <w:p>
            <w:pPr>
              <w:spacing w:before="0" w:after="0" w:line="252" w:lineRule="auto"/>
            </w:pPr>
            <w:r/>
            <w:r>
              <w:rPr>
                <w:rFonts w:ascii="Aptos" w:hAnsi="Aptos"/>
                <w:b w:val="0"/>
                <w:color w:val="202421"/>
                <w:sz w:val="18"/>
              </w:rPr>
              <w:t>Assumptions, decisions, change control</w:t>
            </w:r>
          </w:p>
        </w:tc>
      </w:tr>
      <w:tr>
        <w:trPr>
          <w:cantSplit/>
        </w:trPr>
        <w:tc>
          <w:tcPr>
            <w:tcW w:type="dxa" w:w="2005"/>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18. Sign-off</w:t>
            </w:r>
          </w:p>
        </w:tc>
        <w:tc>
          <w:tcPr>
            <w:tcW w:type="dxa" w:w="735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Client approval section</w:t>
            </w:r>
          </w:p>
        </w:tc>
      </w:tr>
    </w:tbl>
    <w:p>
      <w:pPr>
        <w:spacing w:after="0"/>
      </w:pPr>
    </w:p>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B706D"/>
        <w:sz w:val="16"/>
      </w:rPr>
      <w:t>Carpenters Fiji Pte Limited | CS400 Mid-Term Review | S2 2026</w:t>
    </w:r>
  </w:p>
  <w:p>
    <w:pPr>
      <w:jc w:val="right"/>
    </w:pPr>
    <w:r>
      <w:rPr>
        <w:rFonts w:ascii="Aptos" w:hAnsi="Aptos"/>
        <w:color w:val="6B706D"/>
        <w:sz w:val="17"/>
      </w:rPr>
      <w:t xml:space="preserve">Page </w:t>
    </w:r>
    <w: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06D"/>
        <w:sz w:val="17"/>
      </w:rPr>
      <w:t>CREMS | Mid-Term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878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8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5151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