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w:t>
      </w:r>
    </w:p>
    <w:p>
      <w:pPr>
        <w:pStyle w:val="Heading2"/>
      </w:pPr>
      <w:r>
        <w:t>Car Rental and Equipment Management System</w:t>
      </w:r>
    </w:p>
    <w:p>
      <w:r>
        <w:t>Carpenters Fiji Group | CS400 Industry Experience Project</w:t>
      </w:r>
    </w:p>
    <w:p>
      <w:r>
        <w:t>Version 1.1 | 17 September 2026 | Mid-term report requirements baseline</w:t>
      </w:r>
    </w:p>
    <w:p>
      <w:r>
        <w:t>Prepared by Kavish Chandra, Shoneel Kumar, Sudhansu Jayshil Kisun and Rahul Chand</w:t>
      </w:r>
    </w:p>
    <w:p>
      <w:r>
        <w:t>Academic supervisor: Dr Ravneil Nand | Client sponsor: Amit Kumar</w:t>
      </w:r>
    </w:p>
    <w:p>
      <w:pPr>
        <w:pStyle w:val="Heading2"/>
      </w:pPr>
      <w:r>
        <w:t>1 Purpose and document status</w:t>
      </w:r>
    </w:p>
    <w:p>
      <w:r>
        <w:t>This Software Requirements Specification defines the required behaviour, data, interfaces, quality attributes and acceptance conditions of CREMS. It provides a common basis for implementation and assessment of the rental-management system for Carpenters Motors and Rentals, Carptrac and Carpenters Shipping.</w:t>
      </w:r>
    </w:p>
    <w:p>
      <w:r>
        <w:t>This edition consolidates the requirements presented in the mid-term report dated 16 September 2026 and expands them into verifiable obligations. It is a requirements specification for academic submission and client review. It does not certify completion, production readiness or client acceptance of the software.</w:t>
      </w:r>
    </w:p>
    <w:p>
      <w:r>
        <w:t>The word shall identifies a mandatory requirement within this proposed mid-term baseline. Each requirement retains a unique identifier. Numerical quality targets described as proposed require client agreement before they become production acceptance commitments. Open operational decisions are controlled in Section 12.</w:t>
      </w:r>
    </w:p>
    <w:p>
      <w:pPr>
        <w:pStyle w:val="Heading2"/>
      </w:pPr>
      <w:r>
        <w:t>1.1 Scope and objectives</w:t>
      </w:r>
    </w:p>
    <w:p>
      <w:r>
        <w:t>CREMS shall connect customer requests, asset records, availability, quotations, approvals, agreements, inspections, pickup, return, refundable bonds, maintenance and operational reporting. The objectives are to prevent conflicting hires, preserve rental evidence, enforce customer and staff access boundaries, and provide traceable rental income and maintenance expenditure.</w:t>
      </w:r>
    </w:p>
    <w:p>
      <w:r>
        <w:t>The operational focus is hireable assets within the three named divisions. Shipping scope concerns rental assets and their hire lifecycle; it does not include freight forwarding, vessel operations, customs, cargo manifests or bills of lading.</w:t>
      </w:r>
    </w:p>
    <w:p>
      <w:pPr>
        <w:pStyle w:val="Heading2"/>
      </w:pPr>
      <w:r>
        <w:t>1.2 Reading guide and terminology</w:t>
      </w:r>
    </w:p>
    <w:p>
      <w:r>
        <w:t>Sections 2 to 7 define users and functional requirements. Sections 8 and 9 define data, interfaces and quality requirements. Sections 10 and 11 define acceptance and traceability. Section 12 records unresolved decisions, sources and change control.</w:t>
      </w:r>
    </w:p>
    <w:p>
      <w:r>
        <w:t>A booking is a reservation record; a hire is the operational rental following handover. A bond is refundable security held separately from rental income. A division is an operating business and a branch is an operational location. UAT means user acceptance testing; MVP means minimum viable product.</w:t>
      </w:r>
    </w:p>
    <w:p>
      <w:r>
        <w:rPr>
          <w:b/>
        </w:rPr>
        <w:t xml:space="preserve">FR01 </w:t>
      </w:r>
      <w:r>
        <w:t>to FR10 correspond to the report requirements. FR11 makes bonds explicit and FR12 makes search explicit. Both capabilities are already described in the updated report.</w:t>
      </w:r>
    </w:p>
    <w:p>
      <w:r>
        <w:br w:type="page"/>
      </w:r>
    </w:p>
    <w:p>
      <w:pPr>
        <w:pStyle w:val="Heading1"/>
      </w:pPr>
      <w:r>
        <w:t>2 Product context and access responsibilities</w:t>
      </w:r>
    </w:p>
    <w:p>
      <w:r>
        <w:t>CREMS is a responsive web application with a React and TypeScript interface, an ASP.NET Core API and a Microsoft SQL Server database accessed through Entity Framework Core. The API is the authority for validation, permissions, scope and business transitions. Browser controls shall not be the sole means of enforcing a restriction.</w:t>
      </w:r>
    </w:p>
    <w:p>
      <w:pPr>
        <w:pStyle w:val="Heading2"/>
      </w:pPr>
      <w:r>
        <w:t>2.1 User classes</w:t>
      </w:r>
    </w:p>
    <w:tbl>
      <w:tblPr>
        <w:tblStyle w:val="TableGrid"/>
        <w:tblW w:type="auto" w:w="0"/>
        <w:tblLayout w:type="fixed"/>
        <w:tblLook w:firstColumn="1" w:firstRow="1" w:lastColumn="0" w:lastRow="0" w:noHBand="0" w:noVBand="1" w:val="04A0"/>
      </w:tblPr>
      <w:tblGrid>
        <w:gridCol w:w="2232"/>
        <w:gridCol w:w="7704"/>
      </w:tblGrid>
      <w:tr>
        <w:trPr>
          <w:cantSplit/>
          <w:tblHeader/>
        </w:trPr>
        <w:tc>
          <w:tcPr>
            <w:tcW w:type="dxa" w:w="2232"/>
            <w:shd w:fill="EAEAEA"/>
          </w:tcPr>
          <w:p>
            <w:pPr>
              <w:spacing w:after="60" w:before="60" w:line="240" w:lineRule="auto"/>
            </w:pPr>
            <w:r>
              <w:rPr>
                <w:b/>
                <w:sz w:val="20"/>
              </w:rPr>
              <w:t>Role</w:t>
            </w:r>
          </w:p>
        </w:tc>
        <w:tc>
          <w:tcPr>
            <w:tcW w:type="dxa" w:w="7704"/>
            <w:shd w:fill="EAEAEA"/>
          </w:tcPr>
          <w:p>
            <w:pPr>
              <w:spacing w:after="60" w:before="60" w:line="240" w:lineRule="auto"/>
            </w:pPr>
            <w:r>
              <w:rPr>
                <w:b/>
                <w:sz w:val="20"/>
              </w:rPr>
              <w:t>Required responsibility and boundary</w:t>
            </w:r>
          </w:p>
        </w:tc>
      </w:tr>
      <w:tr>
        <w:trPr>
          <w:cantSplit/>
        </w:trPr>
        <w:tc>
          <w:tcPr>
            <w:tcW w:type="dxa" w:w="2232"/>
          </w:tcPr>
          <w:p>
            <w:pPr>
              <w:spacing w:after="60" w:before="60" w:line="240" w:lineRule="auto"/>
            </w:pPr>
            <w:r>
              <w:rPr>
                <w:b w:val="0"/>
                <w:sz w:val="20"/>
              </w:rPr>
              <w:t>Public visitor</w:t>
            </w:r>
          </w:p>
        </w:tc>
        <w:tc>
          <w:tcPr>
            <w:tcW w:type="dxa" w:w="7704"/>
          </w:tcPr>
          <w:p>
            <w:pPr>
              <w:spacing w:after="60" w:before="60" w:line="240" w:lineRule="auto"/>
            </w:pPr>
            <w:r>
              <w:rPr>
                <w:b w:val="0"/>
                <w:sz w:val="20"/>
              </w:rPr>
              <w:t>Browse published rental information and register or sign in. No access to customer records or internal financial data.</w:t>
            </w:r>
          </w:p>
        </w:tc>
      </w:tr>
      <w:tr>
        <w:trPr>
          <w:cantSplit/>
        </w:trPr>
        <w:tc>
          <w:tcPr>
            <w:tcW w:type="dxa" w:w="2232"/>
          </w:tcPr>
          <w:p>
            <w:pPr>
              <w:spacing w:after="60" w:before="60" w:line="240" w:lineRule="auto"/>
            </w:pPr>
            <w:r>
              <w:rPr>
                <w:b w:val="0"/>
                <w:sz w:val="20"/>
              </w:rPr>
              <w:t>Customer</w:t>
            </w:r>
          </w:p>
        </w:tc>
        <w:tc>
          <w:tcPr>
            <w:tcW w:type="dxa" w:w="7704"/>
          </w:tcPr>
          <w:p>
            <w:pPr>
              <w:spacing w:after="60" w:before="60" w:line="240" w:lineRule="auto"/>
            </w:pPr>
            <w:r>
              <w:rPr>
                <w:b w:val="0"/>
                <w:sz w:val="20"/>
              </w:rPr>
              <w:t>Maintain the permitted profile, request hire, review own quotes and monitor own bookings, documents and notifications.</w:t>
            </w:r>
          </w:p>
        </w:tc>
      </w:tr>
      <w:tr>
        <w:trPr>
          <w:cantSplit/>
        </w:trPr>
        <w:tc>
          <w:tcPr>
            <w:tcW w:type="dxa" w:w="2232"/>
          </w:tcPr>
          <w:p>
            <w:pPr>
              <w:spacing w:after="60" w:before="60" w:line="240" w:lineRule="auto"/>
            </w:pPr>
            <w:r>
              <w:rPr>
                <w:b w:val="0"/>
                <w:sz w:val="20"/>
              </w:rPr>
              <w:t>Rental Officer</w:t>
            </w:r>
          </w:p>
        </w:tc>
        <w:tc>
          <w:tcPr>
            <w:tcW w:type="dxa" w:w="7704"/>
          </w:tcPr>
          <w:p>
            <w:pPr>
              <w:spacing w:after="60" w:before="60" w:line="240" w:lineRule="auto"/>
            </w:pPr>
            <w:r>
              <w:rPr>
                <w:b w:val="0"/>
                <w:sz w:val="20"/>
              </w:rPr>
              <w:t>Process permitted customers, quotes, bookings, inspections, pickup and return within assigned operational scope.</w:t>
            </w:r>
          </w:p>
        </w:tc>
      </w:tr>
      <w:tr>
        <w:trPr>
          <w:cantSplit/>
        </w:trPr>
        <w:tc>
          <w:tcPr>
            <w:tcW w:type="dxa" w:w="2232"/>
          </w:tcPr>
          <w:p>
            <w:pPr>
              <w:spacing w:after="60" w:before="60" w:line="240" w:lineRule="auto"/>
            </w:pPr>
            <w:r>
              <w:rPr>
                <w:b w:val="0"/>
                <w:sz w:val="20"/>
              </w:rPr>
              <w:t>Branch Manager</w:t>
            </w:r>
          </w:p>
        </w:tc>
        <w:tc>
          <w:tcPr>
            <w:tcW w:type="dxa" w:w="7704"/>
          </w:tcPr>
          <w:p>
            <w:pPr>
              <w:spacing w:after="60" w:before="60" w:line="240" w:lineRule="auto"/>
            </w:pPr>
            <w:r>
              <w:rPr>
                <w:b w:val="0"/>
                <w:sz w:val="20"/>
              </w:rPr>
              <w:t>Review branch activity and act on assigned approval stages within permitted division and branch scope.</w:t>
            </w:r>
          </w:p>
        </w:tc>
      </w:tr>
      <w:tr>
        <w:trPr>
          <w:cantSplit/>
        </w:trPr>
        <w:tc>
          <w:tcPr>
            <w:tcW w:type="dxa" w:w="2232"/>
          </w:tcPr>
          <w:p>
            <w:pPr>
              <w:spacing w:after="60" w:before="60" w:line="240" w:lineRule="auto"/>
            </w:pPr>
            <w:r>
              <w:rPr>
                <w:b w:val="0"/>
                <w:sz w:val="20"/>
              </w:rPr>
              <w:t>Maintenance Officer</w:t>
            </w:r>
          </w:p>
        </w:tc>
        <w:tc>
          <w:tcPr>
            <w:tcW w:type="dxa" w:w="7704"/>
          </w:tcPr>
          <w:p>
            <w:pPr>
              <w:spacing w:after="60" w:before="60" w:line="240" w:lineRule="auto"/>
            </w:pPr>
            <w:r>
              <w:rPr>
                <w:b w:val="0"/>
                <w:sz w:val="20"/>
              </w:rPr>
              <w:t>Record permitted faults, work, costs and service outcomes for assets within assigned scope.</w:t>
            </w:r>
          </w:p>
        </w:tc>
      </w:tr>
      <w:tr>
        <w:trPr>
          <w:cantSplit/>
        </w:trPr>
        <w:tc>
          <w:tcPr>
            <w:tcW w:type="dxa" w:w="2232"/>
          </w:tcPr>
          <w:p>
            <w:pPr>
              <w:spacing w:after="60" w:before="60" w:line="240" w:lineRule="auto"/>
            </w:pPr>
            <w:r>
              <w:rPr>
                <w:b w:val="0"/>
                <w:sz w:val="20"/>
              </w:rPr>
              <w:t>Administrator</w:t>
            </w:r>
          </w:p>
        </w:tc>
        <w:tc>
          <w:tcPr>
            <w:tcW w:type="dxa" w:w="7704"/>
          </w:tcPr>
          <w:p>
            <w:pPr>
              <w:spacing w:after="60" w:before="60" w:line="240" w:lineRule="auto"/>
            </w:pPr>
            <w:r>
              <w:rPr>
                <w:b w:val="0"/>
                <w:sz w:val="20"/>
              </w:rPr>
              <w:t>Manage delegated staff, records and configuration. Privileged actions remain subject to explicit API authorization.</w:t>
            </w:r>
          </w:p>
        </w:tc>
      </w:tr>
      <w:tr>
        <w:trPr>
          <w:cantSplit/>
        </w:trPr>
        <w:tc>
          <w:tcPr>
            <w:tcW w:type="dxa" w:w="2232"/>
          </w:tcPr>
          <w:p>
            <w:pPr>
              <w:spacing w:after="60" w:before="60" w:line="240" w:lineRule="auto"/>
            </w:pPr>
            <w:r>
              <w:rPr>
                <w:b w:val="0"/>
                <w:sz w:val="20"/>
              </w:rPr>
              <w:t>Super Administrator</w:t>
            </w:r>
          </w:p>
        </w:tc>
        <w:tc>
          <w:tcPr>
            <w:tcW w:type="dxa" w:w="7704"/>
          </w:tcPr>
          <w:p>
            <w:pPr>
              <w:spacing w:after="60" w:before="60" w:line="240" w:lineRule="auto"/>
            </w:pPr>
            <w:r>
              <w:rPr>
                <w:b w:val="0"/>
                <w:sz w:val="20"/>
              </w:rPr>
              <w:t>Control system-wide governance, division configuration and privileged account administration.</w:t>
            </w:r>
          </w:p>
        </w:tc>
      </w:tr>
    </w:tbl>
    <w:p>
      <w:r>
        <w:t>Driver/operator and Finance Officer are not separate login roles in this baseline. Driver/operator information, personnel requirements and financial operations remain business functions performed by appropriately authorized users. Corporate customer status shall not automatically grant access to every record associated with a company name.</w:t>
      </w:r>
    </w:p>
    <w:p>
      <w:pPr>
        <w:pStyle w:val="Heading2"/>
      </w:pPr>
      <w:r>
        <w:t>2.2 Scope boundaries</w:t>
      </w:r>
    </w:p>
    <w:p>
      <w:r>
        <w:t>Included capabilities are organization and asset configuration, customer access, quotation and booking, staged approvals, refundable bonds, inspection preparation, handover, return, maintenance, QR identification, operational notifications, search, reporting and audit.</w:t>
      </w:r>
    </w:p>
    <w:p>
      <w:r>
        <w:t>Excluded capabilities are full ERP/accounting replacement, payroll, banking reconciliation, live payment-gateway integration, telematics, route optimization and native mobile/offline synchronization. Additional divisions and large historical migrations require separate scope approval.</w:t>
      </w:r>
    </w:p>
    <w:p>
      <w:pPr>
        <w:pStyle w:val="Heading2"/>
      </w:pPr>
      <w:r>
        <w:t>2.3 Operating assumptions</w:t>
      </w:r>
    </w:p>
    <w:p>
      <w:r>
        <w:t>Normal operation requires network access, an approved deployment environment and functioning database and file storage. Email depends on approved sender configuration. Client representatives shall supply authoritative rates, inspection rules, forms, asset mappings and acceptance decisions. Development and demonstrations shall use synthetic or approved anonymized data.</w:t>
      </w:r>
    </w:p>
    <w:p>
      <w:r>
        <w:t>Proposed role responsibilities describe the required business boundary. Fine-grained approval, configuration and financial permissions require confirmation under DEC-02; the presence of a role in source code is not evidence that every associated workflow is accepted.</w:t>
      </w:r>
    </w:p>
    <w:p>
      <w:r>
        <w:br w:type="page"/>
      </w:r>
    </w:p>
    <w:p>
      <w:pPr>
        <w:pStyle w:val="Heading1"/>
      </w:pPr>
      <w:r>
        <w:t>3 Identity customers and asset configuration</w:t>
      </w:r>
    </w:p>
    <w:p>
      <w:pPr>
        <w:pStyle w:val="Heading2"/>
      </w:pPr>
      <w:r>
        <w:t>3.1 Identity and authorization</w:t>
      </w:r>
    </w:p>
    <w:p>
      <w:r>
        <w:rPr>
          <w:b/>
        </w:rPr>
        <w:t xml:space="preserve">FR01.1 </w:t>
      </w:r>
      <w:r>
        <w:t>The system shall authenticate staff and customers, use framework-managed password hashes, and reject invalid credentials without disclosing whether an account exists. Acceptance: valid credentials create an authorized session; invalid credentials fail and no plaintext password appears in stored data or logs.</w:t>
      </w:r>
    </w:p>
    <w:p>
      <w:r>
        <w:rPr>
          <w:b/>
        </w:rPr>
        <w:t xml:space="preserve">FR01.2 </w:t>
      </w:r>
      <w:r>
        <w:t>The system shall enforce customer ownership and staff role, division and branch scope on every protected read, write, search, report and attachment endpoint. Acceptance: unrelated customer and branch accounts cannot retrieve or modify records by changing identifiers or calling the API directly.</w:t>
      </w:r>
    </w:p>
    <w:p>
      <w:r>
        <w:rPr>
          <w:b/>
        </w:rPr>
        <w:t xml:space="preserve">FR01.3 </w:t>
      </w:r>
      <w:r>
        <w:t>The system shall expire idle and absolute-lifetime sessions, revoke sessions on logout or administrative revocation, and renew activity only within the permitted session lifetime. Acceptance: controlled-clock checks cover active use, inactivity, absolute expiry and reuse after revocation. Current 20-minute idle and eight-hour absolute settings remain subject to security approval.</w:t>
      </w:r>
    </w:p>
    <w:p>
      <w:r>
        <w:rPr>
          <w:b/>
        </w:rPr>
        <w:t xml:space="preserve">FR01.4 </w:t>
      </w:r>
      <w:r>
        <w:t>The system shall support controlled account activation, email verification, password recovery and deactivation. Acceptance: invalid, expired or reused activation/recovery credentials fail; deactivated users cannot obtain protected access; security changes are audited.</w:t>
      </w:r>
    </w:p>
    <w:p>
      <w:pPr>
        <w:pStyle w:val="Heading2"/>
      </w:pPr>
      <w:r>
        <w:t>3.2 Customer records</w:t>
      </w:r>
    </w:p>
    <w:p>
      <w:r>
        <w:rPr>
          <w:b/>
        </w:rPr>
        <w:t xml:space="preserve">FR02.1 </w:t>
      </w:r>
      <w:r>
        <w:t>Authorized users shall create and update individual or corporate customer records with required contact and hire-eligibility information. Acceptance: validation identifies missing required fields and a saved record retains changes after reload without creating an unintended duplicate.</w:t>
      </w:r>
    </w:p>
    <w:p>
      <w:r>
        <w:rPr>
          <w:b/>
        </w:rPr>
        <w:t xml:space="preserve">FR02.2 </w:t>
      </w:r>
      <w:r>
        <w:t>The system shall link online access to the correct customer record and restrict private identity, licence and agreement documents. Acceptance: activating an invited existing customer preserves the linked history and exposes no other customer's records.</w:t>
      </w:r>
    </w:p>
    <w:p>
      <w:pPr>
        <w:pStyle w:val="Heading2"/>
      </w:pPr>
      <w:r>
        <w:t>3.3 Organization assets and catalogue</w:t>
      </w:r>
    </w:p>
    <w:p>
      <w:r>
        <w:rPr>
          <w:b/>
        </w:rPr>
        <w:t xml:space="preserve">FR03.1 </w:t>
      </w:r>
      <w:r>
        <w:t>Authorized administrators shall configure divisions, branch memberships, services, categories and asset classes. Acceptance: enabled offerings appear in the appropriate division; disabled configurations are unavailable for new transactions while historical references remain readable.</w:t>
      </w:r>
    </w:p>
    <w:p>
      <w:r>
        <w:rPr>
          <w:b/>
        </w:rPr>
        <w:t xml:space="preserve">FR03.2 </w:t>
      </w:r>
      <w:r>
        <w:t>The system shall store each asset's unique identifier, division, branch, category, applicable attributes, operational status, meters and photographs. Acceptance: valid changes persist after reload; duplicate identifiers and invalid required values are rejected.</w:t>
      </w:r>
    </w:p>
    <w:p>
      <w:r>
        <w:rPr>
          <w:b/>
        </w:rPr>
        <w:t xml:space="preserve">FR03.3 </w:t>
      </w:r>
      <w:r>
        <w:t>Public catalogue responses shall contain only published customer-safe information and valid image references. Acceptance: public responses omit internal costs, staff notes and private documents; missing images have a usable fallback.</w:t>
      </w:r>
    </w:p>
    <w:p>
      <w:r>
        <w:br w:type="page"/>
      </w:r>
    </w:p>
    <w:p>
      <w:pPr>
        <w:pStyle w:val="Heading1"/>
      </w:pPr>
      <w:r>
        <w:t>4 Availability requests and quotations</w:t>
      </w:r>
    </w:p>
    <w:p>
      <w:pPr>
        <w:pStyle w:val="Heading2"/>
      </w:pPr>
      <w:r>
        <w:t>4.1 Availability and booking requests</w:t>
      </w:r>
    </w:p>
    <w:p>
      <w:r>
        <w:rPr>
          <w:b/>
        </w:rPr>
        <w:t xml:space="preserve">FR04.1 </w:t>
      </w:r>
      <w:r>
        <w:t>The system shall capture the customer, selected service or asset, branch, start and end times and applicable hire requirements for each request. Acceptance: the end must follow the start; successful submission produces a persistent reference and a visible initial status.</w:t>
      </w:r>
    </w:p>
    <w:p>
      <w:r>
        <w:rPr>
          <w:b/>
        </w:rPr>
        <w:t xml:space="preserve">FR04.2 </w:t>
      </w:r>
      <w:r>
        <w:t>The system shall reject allocations that overlap blocking bookings or periods of asset unavailability. Availability shall be rechecked transactionally when a booking is confirmed or extended. Acceptance: two simultaneous attempts to confirm the same asset for overlapping periods cannot both succeed.</w:t>
      </w:r>
    </w:p>
    <w:p>
      <w:r>
        <w:rPr>
          <w:b/>
        </w:rPr>
        <w:t xml:space="preserve">FR04.3 </w:t>
      </w:r>
      <w:r>
        <w:t>Pending requests shall follow a defined hold-expiry rule. Acceptance: an active hold blocks the applicable interval; an expired hold releases it without cancelling or changing another booking. The current implementation uses a 30-minute draft hold; the final duration and any turnaround buffer require DEC-03 approval.</w:t>
      </w:r>
    </w:p>
    <w:p>
      <w:r>
        <w:rPr>
          <w:b/>
        </w:rPr>
        <w:t xml:space="preserve">FR04.4 </w:t>
      </w:r>
      <w:r>
        <w:t>Customers shall submit permitted cancellation, extension and active-hire incident requests against their own bookings. Acceptance: requests retain their reason and outcome; an extension cannot silently override another booking; a cancellation cannot bypass settlement or state rules.</w:t>
      </w:r>
    </w:p>
    <w:p>
      <w:pPr>
        <w:pStyle w:val="Heading2"/>
      </w:pPr>
      <w:r>
        <w:t>4.2 Pricing and quotation</w:t>
      </w:r>
    </w:p>
    <w:p>
      <w:r>
        <w:rPr>
          <w:b/>
        </w:rPr>
        <w:t xml:space="preserve">FR05.1 </w:t>
      </w:r>
      <w:r>
        <w:t>Authorized staff shall prepare itemized quotations containing rental charges, additional services, discounts where permitted, tax, refundable bond, currency, validity and terms. Acceptance: totals agree with client-approved examples and the bond remains separately identifiable from rental revenue.</w:t>
      </w:r>
    </w:p>
    <w:p>
      <w:r>
        <w:rPr>
          <w:b/>
        </w:rPr>
        <w:t xml:space="preserve">FR05.2 </w:t>
      </w:r>
      <w:r>
        <w:t>A quotation shall retain its revision history and the rates, charge rules and terms used for that revision. Acceptance: changing a master rate does not retrospectively change a previously accepted quote, agreement or invoice.</w:t>
      </w:r>
    </w:p>
    <w:p>
      <w:r>
        <w:rPr>
          <w:b/>
        </w:rPr>
        <w:t xml:space="preserve">FR05.3 </w:t>
      </w:r>
      <w:r>
        <w:t>The system shall record the permitted acceptance, rejection and expiry outcome of a quote and link an accepted quote to the correct booking. Acceptance: expired or superseded offers cannot be accepted as the current offer; repeat acceptance cannot create duplicate bookings.</w:t>
      </w:r>
    </w:p>
    <w:p>
      <w:r>
        <w:rPr>
          <w:b/>
        </w:rPr>
        <w:t xml:space="preserve">FR05.4 </w:t>
      </w:r>
      <w:r>
        <w:t>The system shall validate equipment-specific delivery, collection, operating-hour and personnel requirements when applicable. Acceptance: a hire requiring trained personnel cannot pass its applicable readiness gate without approved assignment information; vehicle-only licence or odometer fields are not forced onto unsuitable equipment.</w:t>
      </w:r>
    </w:p>
    <w:p>
      <w:pPr>
        <w:pStyle w:val="Heading2"/>
      </w:pPr>
      <w:r>
        <w:t>4.3 Business rules</w:t>
      </w:r>
    </w:p>
    <w:p>
      <w:r>
        <w:t>Intervals overlap when the first start is before the second end and the first end is after the second start. Adjacent bookings require the approved turnaround rule. Inactive, retired, out-of-service or maintenance-blocked assets shall not be allocated to a new hire. An enquiry or pending request shall not be presented as confirmed hire.</w:t>
      </w:r>
    </w:p>
    <w:p>
      <w:r>
        <w:t>Rates, tax treatment, excess usage, cancellation fees and approval thresholds shall be supplied or approved by Carpenters. Prototype values shall not become production policy merely because they are present in the application.</w:t>
      </w:r>
    </w:p>
    <w:p>
      <w:r>
        <w:br w:type="page"/>
      </w:r>
    </w:p>
    <w:p>
      <w:pPr>
        <w:pStyle w:val="Heading1"/>
      </w:pPr>
      <w:r>
        <w:t>5 Approvals bonds and financial records</w:t>
      </w:r>
    </w:p>
    <w:p>
      <w:pPr>
        <w:pStyle w:val="Heading2"/>
      </w:pPr>
      <w:r>
        <w:t>5.1 Configurable approvals</w:t>
      </w:r>
    </w:p>
    <w:p>
      <w:r>
        <w:rPr>
          <w:b/>
        </w:rPr>
        <w:t xml:space="preserve">FR06.1 </w:t>
      </w:r>
      <w:r>
        <w:t>The system shall evaluate configured approval conditions and generate the required ordered stages for the transaction. Acceptance: a triggered request cannot reach confirmation while any mandatory stage remains undecided or rejected.</w:t>
      </w:r>
    </w:p>
    <w:p>
      <w:r>
        <w:rPr>
          <w:b/>
        </w:rPr>
        <w:t xml:space="preserve">FR06.2 </w:t>
      </w:r>
      <w:r>
        <w:t>Only a permitted decision maker shall approve or reject an assigned stage. Each decision shall preserve actor, time, result and remarks. Acceptance: unrelated users and prohibited self-approval attempts fail through both the interface and direct API calls.</w:t>
      </w:r>
    </w:p>
    <w:p>
      <w:r>
        <w:rPr>
          <w:b/>
        </w:rPr>
        <w:t xml:space="preserve">FR06.3 </w:t>
      </w:r>
      <w:r>
        <w:t>Material changes to an approved transaction shall be checked against the approval policy before confirmation. Acceptance: a change that triggers further approval cannot reuse an earlier decision to bypass the required stage. Which changes invalidate approvals is controlled by DEC-04.</w:t>
      </w:r>
    </w:p>
    <w:p>
      <w:pPr>
        <w:pStyle w:val="Heading2"/>
      </w:pPr>
      <w:r>
        <w:t>5.2 Refundable bond management</w:t>
      </w:r>
    </w:p>
    <w:p>
      <w:r>
        <w:rPr>
          <w:b/>
        </w:rPr>
        <w:t xml:space="preserve">FR11.1 </w:t>
      </w:r>
      <w:r>
        <w:t>The system shall record the required bond, amounts received, transaction references and its linked booking or hire separately from rental charges. Acceptance: bond receipts appear against the correct hire and cannot be counted as earned rental income.</w:t>
      </w:r>
    </w:p>
    <w:p>
      <w:r>
        <w:rPr>
          <w:b/>
        </w:rPr>
        <w:t xml:space="preserve">FR11.2 </w:t>
      </w:r>
      <w:r>
        <w:t>Authorized users shall record proposed bond deductions with a reason and supporting evidence, and apply any required approval before settlement. Acceptance: unauthorized deductions fail; damage deductions can be traced to return or inspection evidence.</w:t>
      </w:r>
    </w:p>
    <w:p>
      <w:r>
        <w:rPr>
          <w:b/>
        </w:rPr>
        <w:t xml:space="preserve">FR11.3 </w:t>
      </w:r>
      <w:r>
        <w:t>The system shall calculate the refundable balance from recorded bond receipts, authorized deductions and refunds already paid. Acceptance: deductions plus refunds cannot exceed funds held; excess liability is represented separately; repeated settlement cannot duplicate a refund.</w:t>
      </w:r>
    </w:p>
    <w:p>
      <w:r>
        <w:rPr>
          <w:b/>
        </w:rPr>
        <w:t xml:space="preserve">FR11.4 </w:t>
      </w:r>
      <w:r>
        <w:t>The system shall retain an auditable bond settlement history and customer-visible settlement outcome. Acceptance: the final retained amount, refunded amount, references and remaining balance reconcile to the underlying transactions.</w:t>
      </w:r>
    </w:p>
    <w:p>
      <w:pPr>
        <w:pStyle w:val="Heading2"/>
      </w:pPr>
      <w:r>
        <w:t>5.3 Invoices and payment records</w:t>
      </w:r>
    </w:p>
    <w:p>
      <w:r>
        <w:rPr>
          <w:b/>
        </w:rPr>
        <w:t xml:space="preserve">FR10.1 </w:t>
      </w:r>
      <w:r>
        <w:t>Authorized staff shall generate or record the permitted rental invoice and payment references linked to the hire. Acceptance: invoice lines reconcile with agreed charges and authorized adjustments; duplicate submission cannot create a second financial posting.</w:t>
      </w:r>
    </w:p>
    <w:p>
      <w:r>
        <w:t>Financial recording in CREMS shall not imply successful bank transfer, card processing or accounting-system synchronization. External payment confirmation shall be represented by the permitted recorded status and reference until an integration is separately approved.</w:t>
      </w:r>
    </w:p>
    <w:p>
      <w:pPr>
        <w:pStyle w:val="Heading2"/>
      </w:pPr>
      <w:r>
        <w:t>5.4 Financial controls</w:t>
      </w:r>
    </w:p>
    <w:p>
      <w:r>
        <w:t>All money values shall carry a currency and use decimal arithmetic with an approved rounding rule. Historical amounts shall be preserved. Corrections shall use a traceable adjustment or reversal rather than silently overwriting settled history. Approval and financial actions shall remain subject to role and operational scope checks.</w:t>
      </w:r>
    </w:p>
    <w:p>
      <w:r>
        <w:br w:type="page"/>
      </w:r>
    </w:p>
    <w:p>
      <w:pPr>
        <w:pStyle w:val="Heading1"/>
      </w:pPr>
      <w:r>
        <w:t>6 Inspection pickup and return</w:t>
      </w:r>
    </w:p>
    <w:p>
      <w:pPr>
        <w:pStyle w:val="Heading2"/>
      </w:pPr>
      <w:r>
        <w:t>6.1 Pre hire preparation and handover</w:t>
      </w:r>
    </w:p>
    <w:p>
      <w:r>
        <w:rPr>
          <w:b/>
        </w:rPr>
        <w:t xml:space="preserve">FR07.1 </w:t>
      </w:r>
      <w:r>
        <w:t>Staff shall save and reopen a pre-hire inspection independently of checkout. The record shall include the applicable checklist, condition, photographs, accessories, meter/fuel readings and signatures required for the asset category. Acceptance: save, reload and continue preserve all submitted evidence without advancing the hire state.</w:t>
      </w:r>
    </w:p>
    <w:p>
      <w:r>
        <w:rPr>
          <w:b/>
        </w:rPr>
        <w:t xml:space="preserve">FR07.2 </w:t>
      </w:r>
      <w:r>
        <w:t>Checkout shall require the applicable booking approval, customer/driver eligibility, agreement, payment or bond checks, completed inspection and signatures. Acceptance: each unmet mandatory prerequisite blocks checkout with a clear reason; completing all prerequisites permits the authorized transition once.</w:t>
      </w:r>
    </w:p>
    <w:p>
      <w:r>
        <w:rPr>
          <w:b/>
        </w:rPr>
        <w:t xml:space="preserve">FR07.3 </w:t>
      </w:r>
      <w:r>
        <w:t>QR identification shall resolve the correct asset or transaction within the user's permitted scope, with a manual lookup fallback. Acceptance: invalid or unrelated codes do not expose protected records; scanning alone does not approve or complete handover.</w:t>
      </w:r>
    </w:p>
    <w:p>
      <w:r>
        <w:rPr>
          <w:b/>
        </w:rPr>
        <w:t xml:space="preserve">FR07.4 </w:t>
      </w:r>
      <w:r>
        <w:t>Checkout shall atomically link the confirmed booking, active hire, asset status, agreement and handover evidence. Acceptance: an induced failure leaves no partial checkout; a repeated request does not create a second active hire.</w:t>
      </w:r>
    </w:p>
    <w:p>
      <w:pPr>
        <w:pStyle w:val="Heading2"/>
      </w:pPr>
      <w:r>
        <w:t>6.2 Return and post hire inspection</w:t>
      </w:r>
    </w:p>
    <w:p>
      <w:r>
        <w:rPr>
          <w:b/>
        </w:rPr>
        <w:t xml:space="preserve">FR08.1 </w:t>
      </w:r>
      <w:r>
        <w:t>Staff shall record actual return time and the applicable readings, checklist responses, photos, accessories and damage against the same hire. Acceptance: pre-hire and post-hire evidence can be compared and independently saved return preparation survives reload.</w:t>
      </w:r>
    </w:p>
    <w:p>
      <w:r>
        <w:rPr>
          <w:b/>
        </w:rPr>
        <w:t xml:space="preserve">FR08.2 </w:t>
      </w:r>
      <w:r>
        <w:t>The system shall validate meter progression and calculate permitted late, fuel, excess usage and damage charges from approved rules. Acceptance: decreasing readings require an authorized correction with a reason; calculated charges match approved examples for the category.</w:t>
      </w:r>
    </w:p>
    <w:p>
      <w:r>
        <w:rPr>
          <w:b/>
        </w:rPr>
        <w:t xml:space="preserve">FR08.3 </w:t>
      </w:r>
      <w:r>
        <w:t>Return completion shall derive the asset's next state from inspection and maintenance restrictions. Acceptance: a safety-critical failure or blocking maintenance job prevents the asset from becoming available even when the rental has been returned.</w:t>
      </w:r>
    </w:p>
    <w:p>
      <w:r>
        <w:rPr>
          <w:b/>
        </w:rPr>
        <w:t xml:space="preserve">FR08.4 </w:t>
      </w:r>
      <w:r>
        <w:t>The system shall distinguish physical return, financial settlement and final closure. Acceptance: return evidence remains available while outstanding charges or bond settlement are resolved; final closure retains linked invoice, payment, deduction and refund references.</w:t>
      </w:r>
    </w:p>
    <w:p>
      <w:pPr>
        <w:pStyle w:val="Heading2"/>
      </w:pPr>
      <w:r>
        <w:t>6.3 Lifecycle rules</w:t>
      </w:r>
    </w:p>
    <w:p>
      <w:r>
        <w:t>The booking state sequence is Draft to Confirmed to ConvertedToRental to Completed. Draft and Confirmed may transition to Cancelled. Each permitted transition remains subject to business prerequisites; direct requests to skip stages shall fail. Returned assets can require maintenance independently of booking completion.</w:t>
      </w:r>
    </w:p>
    <w:p>
      <w:r>
        <w:t>Final signed agreements and inspections shall preserve their accepted content. Later corrections shall retain the original and record the authorized amendment, actor, time and reason. Photograph processing or upload failure shall be reported before the user is told that evidence has been saved.</w:t>
      </w:r>
    </w:p>
    <w:p>
      <w:r>
        <w:br w:type="page"/>
      </w:r>
    </w:p>
    <w:p>
      <w:pPr>
        <w:pStyle w:val="Heading1"/>
      </w:pPr>
      <w:r>
        <w:t>7 Maintenance reporting notifications and search</w:t>
      </w:r>
    </w:p>
    <w:p>
      <w:pPr>
        <w:pStyle w:val="Heading2"/>
      </w:pPr>
      <w:r>
        <w:t>7.1 Maintenance and cost recording</w:t>
      </w:r>
    </w:p>
    <w:p>
      <w:r>
        <w:rPr>
          <w:b/>
        </w:rPr>
        <w:t xml:space="preserve">FR09.1 </w:t>
      </w:r>
      <w:r>
        <w:t>Authorized staff shall create a maintenance or damage referral linked to an asset and, where applicable, a hire and inspection. Acceptance: the referral retains the reported defect, origin, priority and blocking status.</w:t>
      </w:r>
    </w:p>
    <w:p>
      <w:r>
        <w:rPr>
          <w:b/>
        </w:rPr>
        <w:t xml:space="preserve">FR09.2 </w:t>
      </w:r>
      <w:r>
        <w:t>The system shall record maintenance work, dates, parts, labour, other approved costs and downtime against the asset. Acceptance: saved work and costs persist and contribute once to the relevant expenditure report.</w:t>
      </w:r>
    </w:p>
    <w:p>
      <w:r>
        <w:rPr>
          <w:b/>
        </w:rPr>
        <w:t xml:space="preserve">FR09.3 </w:t>
      </w:r>
      <w:r>
        <w:t>Only an authorized user shall release an asset after required maintenance and safety checks. Acceptance: incomplete blocking work prevents release; completion records the responsible user, time and release evidence.</w:t>
      </w:r>
    </w:p>
    <w:p>
      <w:pPr>
        <w:pStyle w:val="Heading2"/>
      </w:pPr>
      <w:r>
        <w:t>7.2 Reports audit and notifications</w:t>
      </w:r>
    </w:p>
    <w:p>
      <w:r>
        <w:rPr>
          <w:b/>
        </w:rPr>
        <w:t xml:space="preserve">FR10.2 </w:t>
      </w:r>
      <w:r>
        <w:t>The system shall provide scoped operational views of bookings, active and overdue hires, asset availability, maintenance and bond balances, with defined date and status filters. Acceptance: displayed totals reconcile with an independently counted test dataset under the same filters.</w:t>
      </w:r>
    </w:p>
    <w:p>
      <w:r>
        <w:rPr>
          <w:b/>
        </w:rPr>
        <w:t xml:space="preserve">FR10.3 </w:t>
      </w:r>
      <w:r>
        <w:t>Financial and asset-performance reports shall distinguish rental revenue, refundable bonds and recorded maintenance costs. Acceptance: the calculation basis is visible; incomplete cost data is identified and does not support an unqualified profitability claim.</w:t>
      </w:r>
    </w:p>
    <w:p>
      <w:r>
        <w:rPr>
          <w:b/>
        </w:rPr>
        <w:t xml:space="preserve">FR10.4 </w:t>
      </w:r>
      <w:r>
        <w:t>The system shall create notifications for configured operational events and show them only to the intended authorized recipients. Acceptance: duplicate processing does not create duplicate event notifications; unrelated customer or branch inboxes receive no restricted content.</w:t>
      </w:r>
    </w:p>
    <w:p>
      <w:r>
        <w:rPr>
          <w:b/>
        </w:rPr>
        <w:t xml:space="preserve">FR10.5 </w:t>
      </w:r>
      <w:r>
        <w:t>Where email is configured, the system shall record delivery attempt outcomes and support the approved retry or escalation process. Acceptance: a provider failure remains visible to authorized staff and is not displayed as confirmed delivery. An internal notification does not itself prove email delivery.</w:t>
      </w:r>
    </w:p>
    <w:p>
      <w:r>
        <w:rPr>
          <w:b/>
        </w:rPr>
        <w:t xml:space="preserve">FR10.6 </w:t>
      </w:r>
      <w:r>
        <w:t>Critical changes shall create an audit record identifying actor, UTC time, action, entity and outcome, with a reason or changed values where applicable. Acceptance: approvals, scope changes, financial adjustments, inspection finalization and status changes are traceable; ordinary application users cannot edit audit history.</w:t>
      </w:r>
    </w:p>
    <w:p>
      <w:pPr>
        <w:pStyle w:val="Heading2"/>
      </w:pPr>
      <w:r>
        <w:t>7.3 Operational search</w:t>
      </w:r>
    </w:p>
    <w:p>
      <w:r>
        <w:rPr>
          <w:b/>
        </w:rPr>
        <w:t xml:space="preserve">FR12.1 </w:t>
      </w:r>
      <w:r>
        <w:t>The system shall allow authorized users to search permitted customers, assets, bookings and quotations using relevant references or descriptive fields. Acceptance: correct matches are returned and opening a result leads to its authorized record.</w:t>
      </w:r>
    </w:p>
    <w:p>
      <w:r>
        <w:rPr>
          <w:b/>
        </w:rPr>
        <w:t xml:space="preserve">FR12.2 </w:t>
      </w:r>
      <w:r>
        <w:t>Search queries, suggestions, counts and result snippets shall enforce the same ownership and scope rules as record access. Acceptance: restricted records are absent even when their exact reference is searched; pagination remains bounded and no private fields leak into snippets.</w:t>
      </w:r>
    </w:p>
    <w:p>
      <w:r>
        <w:t>Notification channels, mandatory report layouts, financial definitions and search fields shall be finalized with operational reviewers under DEC-07 and DEC-08.</w:t>
      </w:r>
    </w:p>
    <w:p>
      <w:r>
        <w:br w:type="page"/>
      </w:r>
    </w:p>
    <w:p>
      <w:pPr>
        <w:pStyle w:val="Heading1"/>
      </w:pPr>
      <w:r>
        <w:t>8 Data requirements and external interfaces</w:t>
      </w:r>
    </w:p>
    <w:p>
      <w:pPr>
        <w:pStyle w:val="Heading2"/>
      </w:pPr>
      <w:r>
        <w:t>8.1 Core records and relationships</w:t>
      </w:r>
    </w:p>
    <w:tbl>
      <w:tblPr>
        <w:tblStyle w:val="TableGrid"/>
        <w:tblW w:type="auto" w:w="0"/>
        <w:tblLayout w:type="fixed"/>
        <w:tblLook w:firstColumn="1" w:firstRow="1" w:lastColumn="0" w:lastRow="0" w:noHBand="0" w:noVBand="1" w:val="04A0"/>
      </w:tblPr>
      <w:tblGrid>
        <w:gridCol w:w="2232"/>
        <w:gridCol w:w="7704"/>
      </w:tblGrid>
      <w:tr>
        <w:trPr>
          <w:cantSplit/>
          <w:tblHeader/>
        </w:trPr>
        <w:tc>
          <w:tcPr>
            <w:tcW w:type="dxa" w:w="2232"/>
            <w:shd w:fill="EAEAEA"/>
          </w:tcPr>
          <w:p>
            <w:pPr>
              <w:spacing w:after="60" w:before="60" w:line="240" w:lineRule="auto"/>
            </w:pPr>
            <w:r>
              <w:rPr>
                <w:b/>
                <w:sz w:val="20"/>
              </w:rPr>
              <w:t>Record group</w:t>
            </w:r>
          </w:p>
        </w:tc>
        <w:tc>
          <w:tcPr>
            <w:tcW w:type="dxa" w:w="7704"/>
            <w:shd w:fill="EAEAEA"/>
          </w:tcPr>
          <w:p>
            <w:pPr>
              <w:spacing w:after="60" w:before="60" w:line="240" w:lineRule="auto"/>
            </w:pPr>
            <w:r>
              <w:rPr>
                <w:b/>
                <w:sz w:val="20"/>
              </w:rPr>
              <w:t>Required information and relationships</w:t>
            </w:r>
          </w:p>
        </w:tc>
      </w:tr>
      <w:tr>
        <w:trPr>
          <w:cantSplit/>
        </w:trPr>
        <w:tc>
          <w:tcPr>
            <w:tcW w:type="dxa" w:w="2232"/>
          </w:tcPr>
          <w:p>
            <w:pPr>
              <w:spacing w:after="60" w:before="60" w:line="240" w:lineRule="auto"/>
            </w:pPr>
            <w:r>
              <w:rPr>
                <w:b w:val="0"/>
                <w:sz w:val="20"/>
              </w:rPr>
              <w:t>Organization and users</w:t>
            </w:r>
          </w:p>
        </w:tc>
        <w:tc>
          <w:tcPr>
            <w:tcW w:type="dxa" w:w="7704"/>
          </w:tcPr>
          <w:p>
            <w:pPr>
              <w:spacing w:after="60" w:before="60" w:line="240" w:lineRule="auto"/>
            </w:pPr>
            <w:r>
              <w:rPr>
                <w:b w:val="0"/>
                <w:sz w:val="20"/>
              </w:rPr>
              <w:t>Division, branch membership, service, role, account status and effective operational scope.</w:t>
            </w:r>
          </w:p>
        </w:tc>
      </w:tr>
      <w:tr>
        <w:trPr>
          <w:cantSplit/>
        </w:trPr>
        <w:tc>
          <w:tcPr>
            <w:tcW w:type="dxa" w:w="2232"/>
          </w:tcPr>
          <w:p>
            <w:pPr>
              <w:spacing w:after="60" w:before="60" w:line="240" w:lineRule="auto"/>
            </w:pPr>
            <w:r>
              <w:rPr>
                <w:b w:val="0"/>
                <w:sz w:val="20"/>
              </w:rPr>
              <w:t>Customer and asset</w:t>
            </w:r>
          </w:p>
        </w:tc>
        <w:tc>
          <w:tcPr>
            <w:tcW w:type="dxa" w:w="7704"/>
          </w:tcPr>
          <w:p>
            <w:pPr>
              <w:spacing w:after="60" w:before="60" w:line="240" w:lineRule="auto"/>
            </w:pPr>
            <w:r>
              <w:rPr>
                <w:b w:val="0"/>
                <w:sz w:val="20"/>
              </w:rPr>
              <w:t>Customer identity/contact and account link; asset identifier, category, division, branch, condition, meters and media.</w:t>
            </w:r>
          </w:p>
        </w:tc>
      </w:tr>
      <w:tr>
        <w:trPr>
          <w:cantSplit/>
        </w:trPr>
        <w:tc>
          <w:tcPr>
            <w:tcW w:type="dxa" w:w="2232"/>
          </w:tcPr>
          <w:p>
            <w:pPr>
              <w:spacing w:after="60" w:before="60" w:line="240" w:lineRule="auto"/>
            </w:pPr>
            <w:r>
              <w:rPr>
                <w:b w:val="0"/>
                <w:sz w:val="20"/>
              </w:rPr>
              <w:t>Quotation and booking</w:t>
            </w:r>
          </w:p>
        </w:tc>
        <w:tc>
          <w:tcPr>
            <w:tcW w:type="dxa" w:w="7704"/>
          </w:tcPr>
          <w:p>
            <w:pPr>
              <w:spacing w:after="60" w:before="60" w:line="240" w:lineRule="auto"/>
            </w:pPr>
            <w:r>
              <w:rPr>
                <w:b w:val="0"/>
                <w:sz w:val="20"/>
              </w:rPr>
              <w:t>Customer, asset or requested service, interval, revision, price snapshot, approval stages and lifecycle status.</w:t>
            </w:r>
          </w:p>
        </w:tc>
      </w:tr>
      <w:tr>
        <w:trPr>
          <w:cantSplit/>
        </w:trPr>
        <w:tc>
          <w:tcPr>
            <w:tcW w:type="dxa" w:w="2232"/>
          </w:tcPr>
          <w:p>
            <w:pPr>
              <w:spacing w:after="60" w:before="60" w:line="240" w:lineRule="auto"/>
            </w:pPr>
            <w:r>
              <w:rPr>
                <w:b w:val="0"/>
                <w:sz w:val="20"/>
              </w:rPr>
              <w:t>Hire and inspection</w:t>
            </w:r>
          </w:p>
        </w:tc>
        <w:tc>
          <w:tcPr>
            <w:tcW w:type="dxa" w:w="7704"/>
          </w:tcPr>
          <w:p>
            <w:pPr>
              <w:spacing w:after="60" w:before="60" w:line="240" w:lineRule="auto"/>
            </w:pPr>
            <w:r>
              <w:rPr>
                <w:b w:val="0"/>
                <w:sz w:val="20"/>
              </w:rPr>
              <w:t>Booking reference, actual handover/return times, agreement version, category checklist, readings, photos and signatures.</w:t>
            </w:r>
          </w:p>
        </w:tc>
      </w:tr>
      <w:tr>
        <w:trPr>
          <w:cantSplit/>
        </w:trPr>
        <w:tc>
          <w:tcPr>
            <w:tcW w:type="dxa" w:w="2232"/>
          </w:tcPr>
          <w:p>
            <w:pPr>
              <w:spacing w:after="60" w:before="60" w:line="240" w:lineRule="auto"/>
            </w:pPr>
            <w:r>
              <w:rPr>
                <w:b w:val="0"/>
                <w:sz w:val="20"/>
              </w:rPr>
              <w:t>Finance and maintenance</w:t>
            </w:r>
          </w:p>
        </w:tc>
        <w:tc>
          <w:tcPr>
            <w:tcW w:type="dxa" w:w="7704"/>
          </w:tcPr>
          <w:p>
            <w:pPr>
              <w:spacing w:after="60" w:before="60" w:line="240" w:lineRule="auto"/>
            </w:pPr>
            <w:r>
              <w:rPr>
                <w:b w:val="0"/>
                <w:sz w:val="20"/>
              </w:rPr>
              <w:t>Hire-linked invoice/payment/bond entries; asset-linked jobs, costs, downtime and release evidence.</w:t>
            </w:r>
          </w:p>
        </w:tc>
      </w:tr>
      <w:tr>
        <w:trPr>
          <w:cantSplit/>
        </w:trPr>
        <w:tc>
          <w:tcPr>
            <w:tcW w:type="dxa" w:w="2232"/>
          </w:tcPr>
          <w:p>
            <w:pPr>
              <w:spacing w:after="60" w:before="60" w:line="240" w:lineRule="auto"/>
            </w:pPr>
            <w:r>
              <w:rPr>
                <w:b w:val="0"/>
                <w:sz w:val="20"/>
              </w:rPr>
              <w:t>Audit and notification</w:t>
            </w:r>
          </w:p>
        </w:tc>
        <w:tc>
          <w:tcPr>
            <w:tcW w:type="dxa" w:w="7704"/>
          </w:tcPr>
          <w:p>
            <w:pPr>
              <w:spacing w:after="60" w:before="60" w:line="240" w:lineRule="auto"/>
            </w:pPr>
            <w:r>
              <w:rPr>
                <w:b w:val="0"/>
                <w:sz w:val="20"/>
              </w:rPr>
              <w:t>Actor or recipient, related entity, event time, action/outcome and permitted delivery status.</w:t>
            </w:r>
          </w:p>
        </w:tc>
      </w:tr>
    </w:tbl>
    <w:p>
      <w:r>
        <w:rPr>
          <w:b/>
        </w:rPr>
        <w:t xml:space="preserve">DR01 </w:t>
      </w:r>
      <w:r>
        <w:t>The system shall enforce unique identifiers, required fields and valid references between records. Transactional history shall use cancellation, deactivation or controlled correction instead of ordinary destructive deletion.</w:t>
      </w:r>
    </w:p>
    <w:p>
      <w:r>
        <w:rPr>
          <w:b/>
        </w:rPr>
        <w:t xml:space="preserve">DR02 </w:t>
      </w:r>
      <w:r>
        <w:t>Events shall be stored with an unambiguous UTC timestamp and displayed with an explicit business timezone. Money shall use decimal precision and currency; meters shall retain their unit. Tests shall include date boundaries and kilometre versus operating-hour records.</w:t>
      </w:r>
    </w:p>
    <w:p>
      <w:r>
        <w:rPr>
          <w:b/>
        </w:rPr>
        <w:t xml:space="preserve">DR03 </w:t>
      </w:r>
      <w:r>
        <w:t>Final documents shall retain the template/version and transaction values used when issued. Attachment metadata shall identify its owner, linked record, type and storage reference; private files shall remain protected even when their URL is known.</w:t>
      </w:r>
    </w:p>
    <w:p>
      <w:r>
        <w:rPr>
          <w:b/>
        </w:rPr>
        <w:t xml:space="preserve">DR04 </w:t>
      </w:r>
      <w:r>
        <w:t>Production import shall require approved mappings, validation of identifiers and branch/category codes, duplicate checks, staging reconciliation and recorded authorization. Rejected rows shall be reported without silently losing records.</w:t>
      </w:r>
    </w:p>
    <w:p>
      <w:pPr>
        <w:pStyle w:val="Heading2"/>
      </w:pPr>
      <w:r>
        <w:t>8.2 Interface requirements</w:t>
      </w:r>
    </w:p>
    <w:p>
      <w:r>
        <w:rPr>
          <w:b/>
        </w:rPr>
        <w:t xml:space="preserve">IF01 </w:t>
      </w:r>
      <w:r>
        <w:t>The responsive web interface shall provide role-relevant navigation, labelled inputs, validation and clear save/progress outcomes. It shall prevent accidental repeated submission while preserving recoverable form data on a handled failure.</w:t>
      </w:r>
    </w:p>
    <w:p>
      <w:r>
        <w:rPr>
          <w:b/>
        </w:rPr>
        <w:t xml:space="preserve">IF02 </w:t>
      </w:r>
      <w:r>
        <w:t>Browser-to-API traffic shall use HTTPS in deployment. Protected endpoints shall validate authorization and return consistent validation or conflict responses without stack traces or secrets. Database access shall use parameterized framework-supported queries.</w:t>
      </w:r>
    </w:p>
    <w:p>
      <w:r>
        <w:rPr>
          <w:b/>
        </w:rPr>
        <w:t xml:space="preserve">IF03 </w:t>
      </w:r>
      <w:r>
        <w:t>File storage shall support authorized retrieval of inspection photos and documents, approved type/size limits and protected backup. Camera or QR permission denial shall offer manual input or file selection where appropriate.</w:t>
      </w:r>
    </w:p>
    <w:p>
      <w:r>
        <w:rPr>
          <w:b/>
        </w:rPr>
        <w:t xml:space="preserve">IF04 </w:t>
      </w:r>
      <w:r>
        <w:t>Email shall use an approved provider and external secret configuration. SQL Server and file storage are required infrastructure dependencies. Payment gateways, GPS and ERP interfaces are excluded from this baseline.</w:t>
      </w:r>
    </w:p>
    <w:p>
      <w:r>
        <w:br w:type="page"/>
      </w:r>
    </w:p>
    <w:p>
      <w:pPr>
        <w:pStyle w:val="Heading1"/>
      </w:pPr>
      <w:r>
        <w:t>9 Non functional requirements</w:t>
      </w:r>
    </w:p>
    <w:p>
      <w:r>
        <w:t>These are acceptance obligations, not claims of measured achievement. Proposed workload and recovery figures provide a reproducible test baseline until Carpenters approves production sizing and service objectives.</w:t>
      </w:r>
    </w:p>
    <w:p>
      <w:r>
        <w:rPr>
          <w:b/>
        </w:rPr>
        <w:t xml:space="preserve">NFR01 </w:t>
      </w:r>
      <w:r>
        <w:t>Security and privacy. Every protected operation shall apply server-side authorization and scope validation. Cookies and session handling shall use secure deployment settings, state-changing requests shall resist CSRF, and authentication shall include abuse controls. Acceptance: all defined cross-customer, cross-division and cross-branch negative tests pass without protected data disclosure.</w:t>
      </w:r>
    </w:p>
    <w:p>
      <w:r>
        <w:rPr>
          <w:b/>
        </w:rPr>
        <w:t xml:space="preserve">NFR02 </w:t>
      </w:r>
      <w:r>
        <w:t>Upload and secret protection. Uploaded files shall be checked against an approved type and size policy; private files shall require authorization. Passwords, recovery codes, tokens and infrastructure secrets shall not appear in source control or logs. Acceptance: disallowed/corrupt/oversized files and unauthorized downloads fail; repository and log reviews find no exposed secrets.</w:t>
      </w:r>
    </w:p>
    <w:p>
      <w:r>
        <w:rPr>
          <w:b/>
        </w:rPr>
        <w:t xml:space="preserve">NFR03 </w:t>
      </w:r>
      <w:r>
        <w:t>Performance. Proposed target: 95% of ordinary interactive requests shall complete within two seconds and standard reports within five seconds under 25 concurrent users, 1,000 assets and 10,000 bookings in the agreed test environment. Run a 15-minute representative mixed workload after warm-up, recording errors and percentile timings. Bulk media transfer and external email delivery shall be measured separately.</w:t>
      </w:r>
    </w:p>
    <w:p>
      <w:r>
        <w:rPr>
          <w:b/>
        </w:rPr>
        <w:t xml:space="preserve">NFR04 </w:t>
      </w:r>
      <w:r>
        <w:t>Integrity and concurrency. Critical booking, checkout, return and financial changes shall be atomic and protected against conflicting or duplicate updates. Acceptance: concurrency, retry and failure-injection tests produce no double booking, duplicate refund or partial lifecycle transition.</w:t>
      </w:r>
    </w:p>
    <w:p>
      <w:r>
        <w:rPr>
          <w:b/>
        </w:rPr>
        <w:t xml:space="preserve">NFR05 </w:t>
      </w:r>
      <w:r>
        <w:t>Backup and recovery. The deployment shall include database, file and recoverable configuration backups with a documented restore procedure. Proposed recovery objectives are at most 24 hours of data loss and restoration within four hours. Acceptance: restore into an isolated environment, verify linked attachments and transaction totals, and record actual recovery time and recovery point.</w:t>
      </w:r>
    </w:p>
    <w:p>
      <w:r>
        <w:rPr>
          <w:b/>
        </w:rPr>
        <w:t xml:space="preserve">NFR06 </w:t>
      </w:r>
      <w:r>
        <w:t>Usability and accessibility. Core tasks shall support keyboard operation, visible focus, labels, readable errors and responsive layout. Proposed target: at least four of five representative users complete their agreed tasks without facilitator help. Verify core journeys at 360-pixel and desktop widths with no inaccessible action or clipped essential information.</w:t>
      </w:r>
    </w:p>
    <w:p>
      <w:r>
        <w:rPr>
          <w:b/>
        </w:rPr>
        <w:t xml:space="preserve">NFR07 </w:t>
      </w:r>
      <w:r>
        <w:t>Compatibility and maintainability. Core journeys shall pass on the Chrome and Edge versions recorded at UAT. Setup, configuration, migrations and operational recovery shall be documented and reproducible. Relevant automated checks and review shall accompany changes to authorization, pricing, availability and lifecycle rules.</w:t>
      </w:r>
    </w:p>
    <w:p>
      <w:r>
        <w:rPr>
          <w:b/>
        </w:rPr>
        <w:t xml:space="preserve">NFR08 </w:t>
      </w:r>
      <w:r>
        <w:t>Reliability and auditability. The system shall show actionable failures, preserve committed data and keep audit history protected from ordinary editing. Release shall have no unresolved critical defects or security/data-integrity defects; any other high-severity exception requires a recorded client decision and mitigation.</w:t>
      </w:r>
    </w:p>
    <w:p>
      <w:r>
        <w:rPr>
          <w:b/>
        </w:rPr>
        <w:t xml:space="preserve">NFR09 </w:t>
      </w:r>
      <w:r>
        <w:t>Retention. Personal data, signatures, photos, financial records and audit logs shall follow approved access and retention schedules. Acceptance: approved retention actions preserve referential integrity and demonstrate deletion or anonymization where authorized. Retention periods remain a deployment decision under DEC-09.</w:t>
      </w:r>
    </w:p>
    <w:p>
      <w:r>
        <w:br w:type="page"/>
      </w:r>
    </w:p>
    <w:p>
      <w:pPr>
        <w:pStyle w:val="Heading1"/>
      </w:pPr>
      <w:r>
        <w:t>10 Use cases and acceptance scenarios</w:t>
      </w:r>
    </w:p>
    <w:p>
      <w:pPr>
        <w:pStyle w:val="Heading2"/>
      </w:pPr>
      <w:r>
        <w:t>10.1 UC01 Request and approve a hire</w:t>
      </w:r>
    </w:p>
    <w:p>
      <w:r>
        <w:t>Actors: Customer, Rental Officer and required approvers. Preconditions: the service is enabled and the customer is eligible for the requested flow. The customer selects dates and submits a request; staff checks availability, prices the hire and issues a quote; the customer responds; required approvers decide; the authorized user confirms the booking.</w:t>
      </w:r>
    </w:p>
    <w:p>
      <w:r>
        <w:t>Alternatives: invalid dates, a competing booking, an expired quote or rejection prevents confirmation and preserves a visible outcome. Postcondition: one linked confirmed booking retains its accepted pricing and approval history, or the request remains in its valid non-confirmed state.</w:t>
      </w:r>
    </w:p>
    <w:p>
      <w:pPr>
        <w:pStyle w:val="Heading2"/>
      </w:pPr>
      <w:r>
        <w:t>10.2 UC02 Prepare and hand over an asset</w:t>
      </w:r>
    </w:p>
    <w:p>
      <w:r>
        <w:t>Actors: Rental Officer and customer. Preconditions: a confirmed booking and an operational asset. Staff saves the inspection, reopens it, completes required documents and financial checks, and identifies the asset by QR or manual reference before checkout.</w:t>
      </w:r>
    </w:p>
    <w:p>
      <w:r>
        <w:t>Alternatives: missing evidence, unmet payment/bond conditions or safety failure blocks checkout. A save or upload failure is recoverable. Postcondition: a single active hire retains the agreement and pre-hire evidence and the asset cannot be allocated to a conflicting hire.</w:t>
      </w:r>
    </w:p>
    <w:p>
      <w:pPr>
        <w:pStyle w:val="Heading2"/>
      </w:pPr>
      <w:r>
        <w:t>10.3 UC03 Return settle and release</w:t>
      </w:r>
    </w:p>
    <w:p>
      <w:r>
        <w:t>Actors: Rental Officer, permitted financial decision maker and Maintenance Officer where needed. Staff records return evidence and readings, determines permitted charges, submits required deductions for approval, and records refund/settlement. Safety or damage findings generate a maintenance referral.</w:t>
      </w:r>
    </w:p>
    <w:p>
      <w:r>
        <w:t>Alternatives: an unsettled charge keeps financial closure pending; a blocking defect keeps the asset unavailable. Postcondition: physical return, financial settlement and serviceability each have a traceable, consistent status.</w:t>
      </w:r>
    </w:p>
    <w:p>
      <w:pPr>
        <w:pStyle w:val="Heading2"/>
      </w:pPr>
      <w:r>
        <w:t>10.4 Minimum acceptance suite</w:t>
      </w:r>
    </w:p>
    <w:tbl>
      <w:tblPr>
        <w:tblStyle w:val="TableGrid"/>
        <w:tblW w:type="auto" w:w="0"/>
        <w:tblLayout w:type="fixed"/>
        <w:tblLook w:firstColumn="1" w:firstRow="1" w:lastColumn="0" w:lastRow="0" w:noHBand="0" w:noVBand="1" w:val="04A0"/>
      </w:tblPr>
      <w:tblGrid>
        <w:gridCol w:w="2232"/>
        <w:gridCol w:w="7704"/>
      </w:tblGrid>
      <w:tr>
        <w:trPr>
          <w:cantSplit/>
          <w:tblHeader/>
        </w:trPr>
        <w:tc>
          <w:tcPr>
            <w:tcW w:type="dxa" w:w="2232"/>
            <w:shd w:fill="EAEAEA"/>
          </w:tcPr>
          <w:p>
            <w:pPr>
              <w:spacing w:after="60" w:before="60" w:line="240" w:lineRule="auto"/>
            </w:pPr>
            <w:r>
              <w:rPr>
                <w:b/>
                <w:sz w:val="20"/>
              </w:rPr>
              <w:t>Test</w:t>
            </w:r>
          </w:p>
        </w:tc>
        <w:tc>
          <w:tcPr>
            <w:tcW w:type="dxa" w:w="7704"/>
            <w:shd w:fill="EAEAEA"/>
          </w:tcPr>
          <w:p>
            <w:pPr>
              <w:spacing w:after="60" w:before="60" w:line="240" w:lineRule="auto"/>
            </w:pPr>
            <w:r>
              <w:rPr>
                <w:b/>
                <w:sz w:val="20"/>
              </w:rPr>
              <w:t>Required observable result</w:t>
            </w:r>
          </w:p>
        </w:tc>
      </w:tr>
      <w:tr>
        <w:trPr>
          <w:cantSplit/>
        </w:trPr>
        <w:tc>
          <w:tcPr>
            <w:tcW w:type="dxa" w:w="2232"/>
          </w:tcPr>
          <w:p>
            <w:pPr>
              <w:spacing w:after="60" w:before="60" w:line="240" w:lineRule="auto"/>
            </w:pPr>
            <w:r>
              <w:rPr>
                <w:b w:val="0"/>
                <w:sz w:val="20"/>
              </w:rPr>
              <w:t>AT01 Scope isolation</w:t>
            </w:r>
          </w:p>
        </w:tc>
        <w:tc>
          <w:tcPr>
            <w:tcW w:type="dxa" w:w="7704"/>
          </w:tcPr>
          <w:p>
            <w:pPr>
              <w:spacing w:after="60" w:before="60" w:line="240" w:lineRule="auto"/>
            </w:pPr>
            <w:r>
              <w:rPr>
                <w:b w:val="0"/>
                <w:sz w:val="20"/>
              </w:rPr>
              <w:t>Each customer/staff role passes permitted actions and fails unrelated record, file, search and report access.</w:t>
            </w:r>
          </w:p>
        </w:tc>
      </w:tr>
      <w:tr>
        <w:trPr>
          <w:cantSplit/>
        </w:trPr>
        <w:tc>
          <w:tcPr>
            <w:tcW w:type="dxa" w:w="2232"/>
          </w:tcPr>
          <w:p>
            <w:pPr>
              <w:spacing w:after="60" w:before="60" w:line="240" w:lineRule="auto"/>
            </w:pPr>
            <w:r>
              <w:rPr>
                <w:b w:val="0"/>
                <w:sz w:val="20"/>
              </w:rPr>
              <w:t>AT02 Booking concurrency</w:t>
            </w:r>
          </w:p>
        </w:tc>
        <w:tc>
          <w:tcPr>
            <w:tcW w:type="dxa" w:w="7704"/>
          </w:tcPr>
          <w:p>
            <w:pPr>
              <w:spacing w:after="60" w:before="60" w:line="240" w:lineRule="auto"/>
            </w:pPr>
            <w:r>
              <w:rPr>
                <w:b w:val="0"/>
                <w:sz w:val="20"/>
              </w:rPr>
              <w:t>One of two competing confirmations succeeds; expired holds and extension conflicts behave correctly.</w:t>
            </w:r>
          </w:p>
        </w:tc>
      </w:tr>
      <w:tr>
        <w:trPr>
          <w:cantSplit/>
        </w:trPr>
        <w:tc>
          <w:tcPr>
            <w:tcW w:type="dxa" w:w="2232"/>
          </w:tcPr>
          <w:p>
            <w:pPr>
              <w:spacing w:after="60" w:before="60" w:line="240" w:lineRule="auto"/>
            </w:pPr>
            <w:r>
              <w:rPr>
                <w:b w:val="0"/>
                <w:sz w:val="20"/>
              </w:rPr>
              <w:t>AT03 Quote and approval</w:t>
            </w:r>
          </w:p>
        </w:tc>
        <w:tc>
          <w:tcPr>
            <w:tcW w:type="dxa" w:w="7704"/>
          </w:tcPr>
          <w:p>
            <w:pPr>
              <w:spacing w:after="60" w:before="60" w:line="240" w:lineRule="auto"/>
            </w:pPr>
            <w:r>
              <w:rPr>
                <w:b w:val="0"/>
                <w:sz w:val="20"/>
              </w:rPr>
              <w:t>Revisions preserve prices; required stages cannot be skipped; rejected or expired offers cannot confirm hire.</w:t>
            </w:r>
          </w:p>
        </w:tc>
      </w:tr>
      <w:tr>
        <w:trPr>
          <w:cantSplit/>
        </w:trPr>
        <w:tc>
          <w:tcPr>
            <w:tcW w:type="dxa" w:w="2232"/>
          </w:tcPr>
          <w:p>
            <w:pPr>
              <w:spacing w:after="60" w:before="60" w:line="240" w:lineRule="auto"/>
            </w:pPr>
            <w:r>
              <w:rPr>
                <w:b w:val="0"/>
                <w:sz w:val="20"/>
              </w:rPr>
              <w:t>AT04 Pickup and return</w:t>
            </w:r>
          </w:p>
        </w:tc>
        <w:tc>
          <w:tcPr>
            <w:tcW w:type="dxa" w:w="7704"/>
          </w:tcPr>
          <w:p>
            <w:pPr>
              <w:spacing w:after="60" w:before="60" w:line="240" w:lineRule="auto"/>
            </w:pPr>
            <w:r>
              <w:rPr>
                <w:b w:val="0"/>
                <w:sz w:val="20"/>
              </w:rPr>
              <w:t>Inspection saves survive reload; missing prerequisites block checkout; return applies the correct asset status.</w:t>
            </w:r>
          </w:p>
        </w:tc>
      </w:tr>
      <w:tr>
        <w:trPr>
          <w:cantSplit/>
        </w:trPr>
        <w:tc>
          <w:tcPr>
            <w:tcW w:type="dxa" w:w="2232"/>
          </w:tcPr>
          <w:p>
            <w:pPr>
              <w:spacing w:after="60" w:before="60" w:line="240" w:lineRule="auto"/>
            </w:pPr>
            <w:r>
              <w:rPr>
                <w:b w:val="0"/>
                <w:sz w:val="20"/>
              </w:rPr>
              <w:t>AT05 Bond and charges</w:t>
            </w:r>
          </w:p>
        </w:tc>
        <w:tc>
          <w:tcPr>
            <w:tcW w:type="dxa" w:w="7704"/>
          </w:tcPr>
          <w:p>
            <w:pPr>
              <w:spacing w:after="60" w:before="60" w:line="240" w:lineRule="auto"/>
            </w:pPr>
            <w:r>
              <w:rPr>
                <w:b w:val="0"/>
                <w:sz w:val="20"/>
              </w:rPr>
              <w:t>Full refund, partial deduction, excess liability and duplicate-submit scenarios reconcile without duplicate postings.</w:t>
            </w:r>
          </w:p>
        </w:tc>
      </w:tr>
      <w:tr>
        <w:trPr>
          <w:cantSplit/>
        </w:trPr>
        <w:tc>
          <w:tcPr>
            <w:tcW w:type="dxa" w:w="2232"/>
          </w:tcPr>
          <w:p>
            <w:pPr>
              <w:spacing w:after="60" w:before="60" w:line="240" w:lineRule="auto"/>
            </w:pPr>
            <w:r>
              <w:rPr>
                <w:b w:val="0"/>
                <w:sz w:val="20"/>
              </w:rPr>
              <w:t>AT06 Equipment and Shipping</w:t>
            </w:r>
          </w:p>
        </w:tc>
        <w:tc>
          <w:tcPr>
            <w:tcW w:type="dxa" w:w="7704"/>
          </w:tcPr>
          <w:p>
            <w:pPr>
              <w:spacing w:after="60" w:before="60" w:line="240" w:lineRule="auto"/>
            </w:pPr>
            <w:r>
              <w:rPr>
                <w:b w:val="0"/>
                <w:sz w:val="20"/>
              </w:rPr>
              <w:t>Applicable category, personnel, meter, delivery and checklist rules work without vehicle-only assumptions.</w:t>
            </w:r>
          </w:p>
        </w:tc>
      </w:tr>
      <w:tr>
        <w:trPr>
          <w:cantSplit/>
        </w:trPr>
        <w:tc>
          <w:tcPr>
            <w:tcW w:type="dxa" w:w="2232"/>
          </w:tcPr>
          <w:p>
            <w:pPr>
              <w:spacing w:after="60" w:before="60" w:line="240" w:lineRule="auto"/>
            </w:pPr>
            <w:r>
              <w:rPr>
                <w:b w:val="0"/>
                <w:sz w:val="20"/>
              </w:rPr>
              <w:t>AT07 Maintenance and reports</w:t>
            </w:r>
          </w:p>
        </w:tc>
        <w:tc>
          <w:tcPr>
            <w:tcW w:type="dxa" w:w="7704"/>
          </w:tcPr>
          <w:p>
            <w:pPr>
              <w:spacing w:after="60" w:before="60" w:line="240" w:lineRule="auto"/>
            </w:pPr>
            <w:r>
              <w:rPr>
                <w:b w:val="0"/>
                <w:sz w:val="20"/>
              </w:rPr>
              <w:t>Blocking work prevents availability; completion releases only with authority; report totals reconcile.</w:t>
            </w:r>
          </w:p>
        </w:tc>
      </w:tr>
      <w:tr>
        <w:trPr>
          <w:cantSplit/>
        </w:trPr>
        <w:tc>
          <w:tcPr>
            <w:tcW w:type="dxa" w:w="2232"/>
          </w:tcPr>
          <w:p>
            <w:pPr>
              <w:spacing w:after="60" w:before="60" w:line="240" w:lineRule="auto"/>
            </w:pPr>
            <w:r>
              <w:rPr>
                <w:b w:val="0"/>
                <w:sz w:val="20"/>
              </w:rPr>
              <w:t>AT08 Operational readiness</w:t>
            </w:r>
          </w:p>
        </w:tc>
        <w:tc>
          <w:tcPr>
            <w:tcW w:type="dxa" w:w="7704"/>
          </w:tcPr>
          <w:p>
            <w:pPr>
              <w:spacing w:after="60" w:before="60" w:line="240" w:lineRule="auto"/>
            </w:pPr>
            <w:r>
              <w:rPr>
                <w:b w:val="0"/>
                <w:sz w:val="20"/>
              </w:rPr>
              <w:t>Notifications/search remain scoped; performance, session expiry, restore and browser journeys meet agreed targets.</w:t>
            </w:r>
          </w:p>
        </w:tc>
      </w:tr>
    </w:tbl>
    <w:p>
      <w:r>
        <w:br w:type="page"/>
      </w:r>
    </w:p>
    <w:p>
      <w:pPr>
        <w:pStyle w:val="Heading1"/>
      </w:pPr>
      <w:r>
        <w:t>11 Requirements traceability and completion evidence</w:t>
      </w:r>
    </w:p>
    <w:p>
      <w:r>
        <w:t>Each detailed requirement shall link to a design/component, implementation task, test case, result and acceptance decision. This matrix connects report requirements to the acceptance suite. A planned test mapping does not constitute a test pass.</w:t>
      </w:r>
    </w:p>
    <w:tbl>
      <w:tblPr>
        <w:tblStyle w:val="TableGrid"/>
        <w:tblW w:type="auto" w:w="0"/>
        <w:tblLayout w:type="fixed"/>
        <w:tblLook w:firstColumn="1" w:firstRow="1" w:lastColumn="0" w:lastRow="0" w:noHBand="0" w:noVBand="1" w:val="04A0"/>
      </w:tblPr>
      <w:tblGrid>
        <w:gridCol w:w="2304"/>
        <w:gridCol w:w="5040"/>
        <w:gridCol w:w="2592"/>
      </w:tblGrid>
      <w:tr>
        <w:trPr>
          <w:cantSplit/>
          <w:tblHeader/>
        </w:trPr>
        <w:tc>
          <w:tcPr>
            <w:tcW w:type="dxa" w:w="2304"/>
            <w:shd w:fill="EAEAEA"/>
          </w:tcPr>
          <w:p>
            <w:pPr>
              <w:spacing w:after="60" w:before="60" w:line="240" w:lineRule="auto"/>
            </w:pPr>
            <w:r>
              <w:rPr>
                <w:b/>
                <w:sz w:val="20"/>
              </w:rPr>
              <w:t>Requirement family</w:t>
            </w:r>
          </w:p>
        </w:tc>
        <w:tc>
          <w:tcPr>
            <w:tcW w:type="dxa" w:w="5040"/>
            <w:shd w:fill="EAEAEA"/>
          </w:tcPr>
          <w:p>
            <w:pPr>
              <w:spacing w:after="60" w:before="60" w:line="240" w:lineRule="auto"/>
            </w:pPr>
            <w:r>
              <w:rPr>
                <w:b/>
                <w:sz w:val="20"/>
              </w:rPr>
              <w:t>Component and acceptance mapping</w:t>
            </w:r>
          </w:p>
        </w:tc>
        <w:tc>
          <w:tcPr>
            <w:tcW w:type="dxa" w:w="2592"/>
            <w:shd w:fill="EAEAEA"/>
          </w:tcPr>
          <w:p>
            <w:pPr>
              <w:spacing w:after="60" w:before="60" w:line="240" w:lineRule="auto"/>
            </w:pPr>
            <w:r>
              <w:rPr>
                <w:b/>
                <w:sz w:val="20"/>
              </w:rPr>
              <w:t>Mid-term position</w:t>
            </w:r>
          </w:p>
        </w:tc>
      </w:tr>
      <w:tr>
        <w:trPr>
          <w:cantSplit/>
        </w:trPr>
        <w:tc>
          <w:tcPr>
            <w:tcW w:type="dxa" w:w="2304"/>
          </w:tcPr>
          <w:p>
            <w:pPr>
              <w:spacing w:after="60" w:before="60" w:line="240" w:lineRule="auto"/>
            </w:pPr>
            <w:r>
              <w:rPr>
                <w:b w:val="0"/>
                <w:sz w:val="20"/>
              </w:rPr>
              <w:t>FR01 Identity and access</w:t>
            </w:r>
          </w:p>
        </w:tc>
        <w:tc>
          <w:tcPr>
            <w:tcW w:type="dxa" w:w="5040"/>
          </w:tcPr>
          <w:p>
            <w:pPr>
              <w:spacing w:after="60" w:before="60" w:line="240" w:lineRule="auto"/>
            </w:pPr>
            <w:r>
              <w:rPr>
                <w:b w:val="0"/>
                <w:sz w:val="20"/>
              </w:rPr>
              <w:t>Identity, API policies; AT01 and AT08</w:t>
            </w:r>
          </w:p>
        </w:tc>
        <w:tc>
          <w:tcPr>
            <w:tcW w:type="dxa" w:w="2592"/>
          </w:tcPr>
          <w:p>
            <w:pPr>
              <w:spacing w:after="60" w:before="60" w:line="240" w:lineRule="auto"/>
            </w:pPr>
            <w:r>
              <w:rPr>
                <w:b w:val="0"/>
                <w:sz w:val="20"/>
              </w:rPr>
              <w:t>Implemented; wider security verification remains.</w:t>
            </w:r>
          </w:p>
        </w:tc>
      </w:tr>
      <w:tr>
        <w:trPr>
          <w:cantSplit/>
        </w:trPr>
        <w:tc>
          <w:tcPr>
            <w:tcW w:type="dxa" w:w="2304"/>
          </w:tcPr>
          <w:p>
            <w:pPr>
              <w:spacing w:after="60" w:before="60" w:line="240" w:lineRule="auto"/>
            </w:pPr>
            <w:r>
              <w:rPr>
                <w:b w:val="0"/>
                <w:sz w:val="20"/>
              </w:rPr>
              <w:t>FR02 Customer records</w:t>
            </w:r>
          </w:p>
        </w:tc>
        <w:tc>
          <w:tcPr>
            <w:tcW w:type="dxa" w:w="5040"/>
          </w:tcPr>
          <w:p>
            <w:pPr>
              <w:spacing w:after="60" w:before="60" w:line="240" w:lineRule="auto"/>
            </w:pPr>
            <w:r>
              <w:rPr>
                <w:b w:val="0"/>
                <w:sz w:val="20"/>
              </w:rPr>
              <w:t>Customer portal and administration; AT01</w:t>
            </w:r>
          </w:p>
        </w:tc>
        <w:tc>
          <w:tcPr>
            <w:tcW w:type="dxa" w:w="2592"/>
          </w:tcPr>
          <w:p>
            <w:pPr>
              <w:spacing w:after="60" w:before="60" w:line="240" w:lineRule="auto"/>
            </w:pPr>
            <w:r>
              <w:rPr>
                <w:b w:val="0"/>
                <w:sz w:val="20"/>
              </w:rPr>
              <w:t>Demonstrable; complete acceptance remains.</w:t>
            </w:r>
          </w:p>
        </w:tc>
      </w:tr>
      <w:tr>
        <w:trPr>
          <w:cantSplit/>
        </w:trPr>
        <w:tc>
          <w:tcPr>
            <w:tcW w:type="dxa" w:w="2304"/>
          </w:tcPr>
          <w:p>
            <w:pPr>
              <w:spacing w:after="60" w:before="60" w:line="240" w:lineRule="auto"/>
            </w:pPr>
            <w:r>
              <w:rPr>
                <w:b w:val="0"/>
                <w:sz w:val="20"/>
              </w:rPr>
              <w:t>FR03 Assets and catalogue</w:t>
            </w:r>
          </w:p>
        </w:tc>
        <w:tc>
          <w:tcPr>
            <w:tcW w:type="dxa" w:w="5040"/>
          </w:tcPr>
          <w:p>
            <w:pPr>
              <w:spacing w:after="60" w:before="60" w:line="240" w:lineRule="auto"/>
            </w:pPr>
            <w:r>
              <w:rPr>
                <w:b w:val="0"/>
                <w:sz w:val="20"/>
              </w:rPr>
              <w:t>Organization, asset register, catalogue; AT01 and AT06</w:t>
            </w:r>
          </w:p>
        </w:tc>
        <w:tc>
          <w:tcPr>
            <w:tcW w:type="dxa" w:w="2592"/>
          </w:tcPr>
          <w:p>
            <w:pPr>
              <w:spacing w:after="60" w:before="60" w:line="240" w:lineRule="auto"/>
            </w:pPr>
            <w:r>
              <w:rPr>
                <w:b w:val="0"/>
                <w:sz w:val="20"/>
              </w:rPr>
              <w:t>Implemented; targeted image checks recorded.</w:t>
            </w:r>
          </w:p>
        </w:tc>
      </w:tr>
      <w:tr>
        <w:trPr>
          <w:cantSplit/>
        </w:trPr>
        <w:tc>
          <w:tcPr>
            <w:tcW w:type="dxa" w:w="2304"/>
          </w:tcPr>
          <w:p>
            <w:pPr>
              <w:spacing w:after="60" w:before="60" w:line="240" w:lineRule="auto"/>
            </w:pPr>
            <w:r>
              <w:rPr>
                <w:b w:val="0"/>
                <w:sz w:val="20"/>
              </w:rPr>
              <w:t>FR04 Availability</w:t>
            </w:r>
          </w:p>
        </w:tc>
        <w:tc>
          <w:tcPr>
            <w:tcW w:type="dxa" w:w="5040"/>
          </w:tcPr>
          <w:p>
            <w:pPr>
              <w:spacing w:after="60" w:before="60" w:line="240" w:lineRule="auto"/>
            </w:pPr>
            <w:r>
              <w:rPr>
                <w:b w:val="0"/>
                <w:sz w:val="20"/>
              </w:rPr>
              <w:t>Booking and availability policy; AT02</w:t>
            </w:r>
          </w:p>
        </w:tc>
        <w:tc>
          <w:tcPr>
            <w:tcW w:type="dxa" w:w="2592"/>
          </w:tcPr>
          <w:p>
            <w:pPr>
              <w:spacing w:after="60" w:before="60" w:line="240" w:lineRule="auto"/>
            </w:pPr>
            <w:r>
              <w:rPr>
                <w:b w:val="0"/>
                <w:sz w:val="20"/>
              </w:rPr>
              <w:t>Implemented and being refined.</w:t>
            </w:r>
          </w:p>
        </w:tc>
      </w:tr>
      <w:tr>
        <w:trPr>
          <w:cantSplit/>
        </w:trPr>
        <w:tc>
          <w:tcPr>
            <w:tcW w:type="dxa" w:w="2304"/>
          </w:tcPr>
          <w:p>
            <w:pPr>
              <w:spacing w:after="60" w:before="60" w:line="240" w:lineRule="auto"/>
            </w:pPr>
            <w:r>
              <w:rPr>
                <w:b w:val="0"/>
                <w:sz w:val="20"/>
              </w:rPr>
              <w:t>FR05 Quotes and pricing</w:t>
            </w:r>
          </w:p>
        </w:tc>
        <w:tc>
          <w:tcPr>
            <w:tcW w:type="dxa" w:w="5040"/>
          </w:tcPr>
          <w:p>
            <w:pPr>
              <w:spacing w:after="60" w:before="60" w:line="240" w:lineRule="auto"/>
            </w:pPr>
            <w:r>
              <w:rPr>
                <w:b w:val="0"/>
                <w:sz w:val="20"/>
              </w:rPr>
              <w:t>Quote/pricing services; AT03 and AT05</w:t>
            </w:r>
          </w:p>
        </w:tc>
        <w:tc>
          <w:tcPr>
            <w:tcW w:type="dxa" w:w="2592"/>
          </w:tcPr>
          <w:p>
            <w:pPr>
              <w:spacing w:after="60" w:before="60" w:line="240" w:lineRule="auto"/>
            </w:pPr>
            <w:r>
              <w:rPr>
                <w:b w:val="0"/>
                <w:sz w:val="20"/>
              </w:rPr>
              <w:t>Implemented; commercial reconciliation remains.</w:t>
            </w:r>
          </w:p>
        </w:tc>
      </w:tr>
      <w:tr>
        <w:trPr>
          <w:cantSplit/>
        </w:trPr>
        <w:tc>
          <w:tcPr>
            <w:tcW w:type="dxa" w:w="2304"/>
          </w:tcPr>
          <w:p>
            <w:pPr>
              <w:spacing w:after="60" w:before="60" w:line="240" w:lineRule="auto"/>
            </w:pPr>
            <w:r>
              <w:rPr>
                <w:b w:val="0"/>
                <w:sz w:val="20"/>
              </w:rPr>
              <w:t>FR06 Approvals</w:t>
            </w:r>
          </w:p>
        </w:tc>
        <w:tc>
          <w:tcPr>
            <w:tcW w:type="dxa" w:w="5040"/>
          </w:tcPr>
          <w:p>
            <w:pPr>
              <w:spacing w:after="60" w:before="60" w:line="240" w:lineRule="auto"/>
            </w:pPr>
            <w:r>
              <w:rPr>
                <w:b w:val="0"/>
                <w:sz w:val="20"/>
              </w:rPr>
              <w:t>Approval workflow; AT01 and AT03</w:t>
            </w:r>
          </w:p>
        </w:tc>
        <w:tc>
          <w:tcPr>
            <w:tcW w:type="dxa" w:w="2592"/>
          </w:tcPr>
          <w:p>
            <w:pPr>
              <w:spacing w:after="60" w:before="60" w:line="240" w:lineRule="auto"/>
            </w:pPr>
            <w:r>
              <w:rPr>
                <w:b w:val="0"/>
                <w:sz w:val="20"/>
              </w:rPr>
              <w:t>Implemented; integrated validation remains.</w:t>
            </w:r>
          </w:p>
        </w:tc>
      </w:tr>
      <w:tr>
        <w:trPr>
          <w:cantSplit/>
        </w:trPr>
        <w:tc>
          <w:tcPr>
            <w:tcW w:type="dxa" w:w="2304"/>
          </w:tcPr>
          <w:p>
            <w:pPr>
              <w:spacing w:after="60" w:before="60" w:line="240" w:lineRule="auto"/>
            </w:pPr>
            <w:r>
              <w:rPr>
                <w:b w:val="0"/>
                <w:sz w:val="20"/>
              </w:rPr>
              <w:t>FR07 Pickup and checkout</w:t>
            </w:r>
          </w:p>
        </w:tc>
        <w:tc>
          <w:tcPr>
            <w:tcW w:type="dxa" w:w="5040"/>
          </w:tcPr>
          <w:p>
            <w:pPr>
              <w:spacing w:after="60" w:before="60" w:line="240" w:lineRule="auto"/>
            </w:pPr>
            <w:r>
              <w:rPr>
                <w:b w:val="0"/>
                <w:sz w:val="20"/>
              </w:rPr>
              <w:t>Pickup and inspection; AT04 and AT06</w:t>
            </w:r>
          </w:p>
        </w:tc>
        <w:tc>
          <w:tcPr>
            <w:tcW w:type="dxa" w:w="2592"/>
          </w:tcPr>
          <w:p>
            <w:pPr>
              <w:spacing w:after="60" w:before="60" w:line="240" w:lineRule="auto"/>
            </w:pPr>
            <w:r>
              <w:rPr>
                <w:b w:val="0"/>
                <w:sz w:val="20"/>
              </w:rPr>
              <w:t>In progress; independent saving available.</w:t>
            </w:r>
          </w:p>
        </w:tc>
      </w:tr>
      <w:tr>
        <w:trPr>
          <w:cantSplit/>
        </w:trPr>
        <w:tc>
          <w:tcPr>
            <w:tcW w:type="dxa" w:w="2304"/>
          </w:tcPr>
          <w:p>
            <w:pPr>
              <w:spacing w:after="60" w:before="60" w:line="240" w:lineRule="auto"/>
            </w:pPr>
            <w:r>
              <w:rPr>
                <w:b w:val="0"/>
                <w:sz w:val="20"/>
              </w:rPr>
              <w:t>FR08 Return and post hire</w:t>
            </w:r>
          </w:p>
        </w:tc>
        <w:tc>
          <w:tcPr>
            <w:tcW w:type="dxa" w:w="5040"/>
          </w:tcPr>
          <w:p>
            <w:pPr>
              <w:spacing w:after="60" w:before="60" w:line="240" w:lineRule="auto"/>
            </w:pPr>
            <w:r>
              <w:rPr>
                <w:b w:val="0"/>
                <w:sz w:val="20"/>
              </w:rPr>
              <w:t>Return and inspection; AT04 and AT05</w:t>
            </w:r>
          </w:p>
        </w:tc>
        <w:tc>
          <w:tcPr>
            <w:tcW w:type="dxa" w:w="2592"/>
          </w:tcPr>
          <w:p>
            <w:pPr>
              <w:spacing w:after="60" w:before="60" w:line="240" w:lineRule="auto"/>
            </w:pPr>
            <w:r>
              <w:rPr>
                <w:b w:val="0"/>
                <w:sz w:val="20"/>
              </w:rPr>
              <w:t>In progress; systematic validation remains.</w:t>
            </w:r>
          </w:p>
        </w:tc>
      </w:tr>
      <w:tr>
        <w:trPr>
          <w:cantSplit/>
        </w:trPr>
        <w:tc>
          <w:tcPr>
            <w:tcW w:type="dxa" w:w="2304"/>
          </w:tcPr>
          <w:p>
            <w:pPr>
              <w:spacing w:after="60" w:before="60" w:line="240" w:lineRule="auto"/>
            </w:pPr>
            <w:r>
              <w:rPr>
                <w:b w:val="0"/>
                <w:sz w:val="20"/>
              </w:rPr>
              <w:t>FR09 Maintenance</w:t>
            </w:r>
          </w:p>
        </w:tc>
        <w:tc>
          <w:tcPr>
            <w:tcW w:type="dxa" w:w="5040"/>
          </w:tcPr>
          <w:p>
            <w:pPr>
              <w:spacing w:after="60" w:before="60" w:line="240" w:lineRule="auto"/>
            </w:pPr>
            <w:r>
              <w:rPr>
                <w:b w:val="0"/>
                <w:sz w:val="20"/>
              </w:rPr>
              <w:t>Maintenance and asset state; AT07</w:t>
            </w:r>
          </w:p>
        </w:tc>
        <w:tc>
          <w:tcPr>
            <w:tcW w:type="dxa" w:w="2592"/>
          </w:tcPr>
          <w:p>
            <w:pPr>
              <w:spacing w:after="60" w:before="60" w:line="240" w:lineRule="auto"/>
            </w:pPr>
            <w:r>
              <w:rPr>
                <w:b w:val="0"/>
                <w:sz w:val="20"/>
              </w:rPr>
              <w:t>Foundation available; completion remains.</w:t>
            </w:r>
          </w:p>
        </w:tc>
      </w:tr>
      <w:tr>
        <w:trPr>
          <w:cantSplit/>
        </w:trPr>
        <w:tc>
          <w:tcPr>
            <w:tcW w:type="dxa" w:w="2304"/>
          </w:tcPr>
          <w:p>
            <w:pPr>
              <w:spacing w:after="60" w:before="60" w:line="240" w:lineRule="auto"/>
            </w:pPr>
            <w:r>
              <w:rPr>
                <w:b w:val="0"/>
                <w:sz w:val="20"/>
              </w:rPr>
              <w:t>FR10 Finance and alerts</w:t>
            </w:r>
          </w:p>
        </w:tc>
        <w:tc>
          <w:tcPr>
            <w:tcW w:type="dxa" w:w="5040"/>
          </w:tcPr>
          <w:p>
            <w:pPr>
              <w:spacing w:after="60" w:before="60" w:line="240" w:lineRule="auto"/>
            </w:pPr>
            <w:r>
              <w:rPr>
                <w:b w:val="0"/>
                <w:sz w:val="20"/>
              </w:rPr>
              <w:t>Finance, reports, notifications, audit; AT05, AT07, AT08</w:t>
            </w:r>
          </w:p>
        </w:tc>
        <w:tc>
          <w:tcPr>
            <w:tcW w:type="dxa" w:w="2592"/>
          </w:tcPr>
          <w:p>
            <w:pPr>
              <w:spacing w:after="60" w:before="60" w:line="240" w:lineRule="auto"/>
            </w:pPr>
            <w:r>
              <w:rPr>
                <w:b w:val="0"/>
                <w:sz w:val="20"/>
              </w:rPr>
              <w:t>Partly implemented; reconciliation remains.</w:t>
            </w:r>
          </w:p>
        </w:tc>
      </w:tr>
      <w:tr>
        <w:trPr>
          <w:cantSplit/>
        </w:trPr>
        <w:tc>
          <w:tcPr>
            <w:tcW w:type="dxa" w:w="2304"/>
          </w:tcPr>
          <w:p>
            <w:pPr>
              <w:spacing w:after="60" w:before="60" w:line="240" w:lineRule="auto"/>
            </w:pPr>
            <w:r>
              <w:rPr>
                <w:b w:val="0"/>
                <w:sz w:val="20"/>
              </w:rPr>
              <w:t>FR11 Refundable bonds</w:t>
            </w:r>
          </w:p>
        </w:tc>
        <w:tc>
          <w:tcPr>
            <w:tcW w:type="dxa" w:w="5040"/>
          </w:tcPr>
          <w:p>
            <w:pPr>
              <w:spacing w:after="60" w:before="60" w:line="240" w:lineRule="auto"/>
            </w:pPr>
            <w:r>
              <w:rPr>
                <w:b w:val="0"/>
                <w:sz w:val="20"/>
              </w:rPr>
              <w:t>Pricing, bond and return settlement; AT05</w:t>
            </w:r>
          </w:p>
        </w:tc>
        <w:tc>
          <w:tcPr>
            <w:tcW w:type="dxa" w:w="2592"/>
          </w:tcPr>
          <w:p>
            <w:pPr>
              <w:spacing w:after="60" w:before="60" w:line="240" w:lineRule="auto"/>
            </w:pPr>
            <w:r>
              <w:rPr>
                <w:b w:val="0"/>
                <w:sz w:val="20"/>
              </w:rPr>
              <w:t>Implemented; settlement validation remains.</w:t>
            </w:r>
          </w:p>
        </w:tc>
      </w:tr>
      <w:tr>
        <w:trPr>
          <w:cantSplit/>
        </w:trPr>
        <w:tc>
          <w:tcPr>
            <w:tcW w:type="dxa" w:w="2304"/>
          </w:tcPr>
          <w:p>
            <w:pPr>
              <w:spacing w:after="60" w:before="60" w:line="240" w:lineRule="auto"/>
            </w:pPr>
            <w:r>
              <w:rPr>
                <w:b w:val="0"/>
                <w:sz w:val="20"/>
              </w:rPr>
              <w:t>FR12 Search</w:t>
            </w:r>
          </w:p>
        </w:tc>
        <w:tc>
          <w:tcPr>
            <w:tcW w:type="dxa" w:w="5040"/>
          </w:tcPr>
          <w:p>
            <w:pPr>
              <w:spacing w:after="60" w:before="60" w:line="240" w:lineRule="auto"/>
            </w:pPr>
            <w:r>
              <w:rPr>
                <w:b w:val="0"/>
                <w:sz w:val="20"/>
              </w:rPr>
              <w:t>Scoped record search; AT01 and AT08</w:t>
            </w:r>
          </w:p>
        </w:tc>
        <w:tc>
          <w:tcPr>
            <w:tcW w:type="dxa" w:w="2592"/>
          </w:tcPr>
          <w:p>
            <w:pPr>
              <w:spacing w:after="60" w:before="60" w:line="240" w:lineRule="auto"/>
            </w:pPr>
            <w:r>
              <w:rPr>
                <w:b w:val="0"/>
                <w:sz w:val="20"/>
              </w:rPr>
              <w:t>Available; access regression remains.</w:t>
            </w:r>
          </w:p>
        </w:tc>
      </w:tr>
      <w:tr>
        <w:trPr>
          <w:cantSplit/>
        </w:trPr>
        <w:tc>
          <w:tcPr>
            <w:tcW w:type="dxa" w:w="2304"/>
          </w:tcPr>
          <w:p>
            <w:pPr>
              <w:spacing w:after="60" w:before="60" w:line="240" w:lineRule="auto"/>
            </w:pPr>
            <w:r>
              <w:rPr>
                <w:b w:val="0"/>
                <w:sz w:val="20"/>
              </w:rPr>
              <w:t>DR01 to DR04 and IF01 to IF04</w:t>
            </w:r>
          </w:p>
        </w:tc>
        <w:tc>
          <w:tcPr>
            <w:tcW w:type="dxa" w:w="5040"/>
          </w:tcPr>
          <w:p>
            <w:pPr>
              <w:spacing w:after="60" w:before="60" w:line="240" w:lineRule="auto"/>
            </w:pPr>
            <w:r>
              <w:rPr>
                <w:b w:val="0"/>
                <w:sz w:val="20"/>
              </w:rPr>
              <w:t>Database, files, API, browser and deployment; AT01 to AT08</w:t>
            </w:r>
          </w:p>
        </w:tc>
        <w:tc>
          <w:tcPr>
            <w:tcW w:type="dxa" w:w="2592"/>
          </w:tcPr>
          <w:p>
            <w:pPr>
              <w:spacing w:after="60" w:before="60" w:line="240" w:lineRule="auto"/>
            </w:pPr>
            <w:r>
              <w:rPr>
                <w:b w:val="0"/>
                <w:sz w:val="20"/>
              </w:rPr>
              <w:t>Verification required across workflows.</w:t>
            </w:r>
          </w:p>
        </w:tc>
      </w:tr>
      <w:tr>
        <w:trPr>
          <w:cantSplit/>
        </w:trPr>
        <w:tc>
          <w:tcPr>
            <w:tcW w:type="dxa" w:w="2304"/>
          </w:tcPr>
          <w:p>
            <w:pPr>
              <w:spacing w:after="60" w:before="60" w:line="240" w:lineRule="auto"/>
            </w:pPr>
            <w:r>
              <w:rPr>
                <w:b w:val="0"/>
                <w:sz w:val="20"/>
              </w:rPr>
              <w:t>NFR01 to NFR09</w:t>
            </w:r>
          </w:p>
        </w:tc>
        <w:tc>
          <w:tcPr>
            <w:tcW w:type="dxa" w:w="5040"/>
          </w:tcPr>
          <w:p>
            <w:pPr>
              <w:spacing w:after="60" w:before="60" w:line="240" w:lineRule="auto"/>
            </w:pPr>
            <w:r>
              <w:rPr>
                <w:b w:val="0"/>
                <w:sz w:val="20"/>
              </w:rPr>
              <w:t>Security, performance, recovery, usability; AT01 and AT08</w:t>
            </w:r>
          </w:p>
        </w:tc>
        <w:tc>
          <w:tcPr>
            <w:tcW w:type="dxa" w:w="2592"/>
          </w:tcPr>
          <w:p>
            <w:pPr>
              <w:spacing w:after="60" w:before="60" w:line="240" w:lineRule="auto"/>
            </w:pPr>
            <w:r>
              <w:rPr>
                <w:b w:val="0"/>
                <w:sz w:val="20"/>
              </w:rPr>
              <w:t>Targets and release evidence outstanding.</w:t>
            </w:r>
          </w:p>
        </w:tc>
      </w:tr>
    </w:tbl>
    <w:p>
      <w:pPr>
        <w:pStyle w:val="Heading2"/>
      </w:pPr>
      <w:r>
        <w:t>11.1 Evidence and acceptance rules</w:t>
      </w:r>
    </w:p>
    <w:p>
      <w:r>
        <w:t>Each execution record shall identify requirement and test IDs, tested build, environment, actor/scope, inputs, expected and actual results, evidence location, defect reference and reviewer. Automated results and screenshots shall supplement end-to-end demonstrations, not replace them.</w:t>
      </w:r>
    </w:p>
    <w:p>
      <w:r>
        <w:t>A requirement is accepted only when its behaviour and relevant negative cases pass and an authorized reviewer records the outcome. Implemented, demonstrated, tested and accepted are separate statuses. The mid-term report records targeted fixes and checks, but not a completed functional regression run for the latest work.</w:t>
      </w:r>
    </w:p>
    <w:p>
      <w:r>
        <w:t>Final acceptance shall include representative Motors, Carptrac and Shipping journeys, approved data and commercial examples, restored backups, deployment/user guidance, resolved blocking defects and recorded client review.</w:t>
      </w:r>
    </w:p>
    <w:p>
      <w:r>
        <w:br w:type="page"/>
      </w:r>
    </w:p>
    <w:p>
      <w:pPr>
        <w:pStyle w:val="Heading1"/>
      </w:pPr>
      <w:r>
        <w:t>12 Open decisions sources and change control</w:t>
      </w:r>
    </w:p>
    <w:p>
      <w:pPr>
        <w:pStyle w:val="Heading2"/>
      </w:pPr>
      <w:r>
        <w:t>12.1 Decisions requiring client confirmation</w:t>
      </w:r>
    </w:p>
    <w:tbl>
      <w:tblPr>
        <w:tblStyle w:val="TableGrid"/>
        <w:tblW w:type="auto" w:w="0"/>
        <w:tblLayout w:type="fixed"/>
        <w:tblLook w:firstColumn="1" w:firstRow="1" w:lastColumn="0" w:lastRow="0" w:noHBand="0" w:noVBand="1" w:val="04A0"/>
      </w:tblPr>
      <w:tblGrid>
        <w:gridCol w:w="2304"/>
        <w:gridCol w:w="5040"/>
        <w:gridCol w:w="2592"/>
      </w:tblGrid>
      <w:tr>
        <w:trPr>
          <w:cantSplit/>
          <w:tblHeader/>
        </w:trPr>
        <w:tc>
          <w:tcPr>
            <w:tcW w:type="dxa" w:w="2304"/>
            <w:shd w:fill="EAEAEA"/>
          </w:tcPr>
          <w:p>
            <w:pPr>
              <w:spacing w:after="60" w:before="60" w:line="240" w:lineRule="auto"/>
            </w:pPr>
            <w:r>
              <w:rPr>
                <w:b/>
                <w:sz w:val="20"/>
              </w:rPr>
              <w:t>Decision</w:t>
            </w:r>
          </w:p>
        </w:tc>
        <w:tc>
          <w:tcPr>
            <w:tcW w:type="dxa" w:w="5040"/>
            <w:shd w:fill="EAEAEA"/>
          </w:tcPr>
          <w:p>
            <w:pPr>
              <w:spacing w:after="60" w:before="60" w:line="240" w:lineRule="auto"/>
            </w:pPr>
            <w:r>
              <w:rPr>
                <w:b/>
                <w:sz w:val="20"/>
              </w:rPr>
              <w:t>Owner and required confirmation</w:t>
            </w:r>
          </w:p>
        </w:tc>
        <w:tc>
          <w:tcPr>
            <w:tcW w:type="dxa" w:w="2592"/>
            <w:shd w:fill="EAEAEA"/>
          </w:tcPr>
          <w:p>
            <w:pPr>
              <w:spacing w:after="60" w:before="60" w:line="240" w:lineRule="auto"/>
            </w:pPr>
            <w:r>
              <w:rPr>
                <w:b/>
                <w:sz w:val="20"/>
              </w:rPr>
              <w:t>Gate</w:t>
            </w:r>
          </w:p>
        </w:tc>
      </w:tr>
      <w:tr>
        <w:trPr>
          <w:cantSplit/>
        </w:trPr>
        <w:tc>
          <w:tcPr>
            <w:tcW w:type="dxa" w:w="2304"/>
          </w:tcPr>
          <w:p>
            <w:pPr>
              <w:spacing w:after="60" w:before="60" w:line="240" w:lineRule="auto"/>
            </w:pPr>
            <w:r>
              <w:rPr>
                <w:b w:val="0"/>
                <w:sz w:val="20"/>
              </w:rPr>
              <w:t>DEC-01 Scope</w:t>
            </w:r>
          </w:p>
        </w:tc>
        <w:tc>
          <w:tcPr>
            <w:tcW w:type="dxa" w:w="5040"/>
          </w:tcPr>
          <w:p>
            <w:pPr>
              <w:spacing w:after="60" w:before="60" w:line="240" w:lineRule="auto"/>
            </w:pPr>
            <w:r>
              <w:rPr>
                <w:b w:val="0"/>
                <w:sz w:val="20"/>
              </w:rPr>
              <w:t>Sponsor: Shipping hire categories, included branches and acceptance authority.</w:t>
            </w:r>
          </w:p>
        </w:tc>
        <w:tc>
          <w:tcPr>
            <w:tcW w:type="dxa" w:w="2592"/>
          </w:tcPr>
          <w:p>
            <w:pPr>
              <w:spacing w:after="60" w:before="60" w:line="240" w:lineRule="auto"/>
            </w:pPr>
            <w:r>
              <w:rPr>
                <w:b w:val="0"/>
                <w:sz w:val="20"/>
              </w:rPr>
              <w:t>Scope approval</w:t>
            </w:r>
          </w:p>
        </w:tc>
      </w:tr>
      <w:tr>
        <w:trPr>
          <w:cantSplit/>
        </w:trPr>
        <w:tc>
          <w:tcPr>
            <w:tcW w:type="dxa" w:w="2304"/>
          </w:tcPr>
          <w:p>
            <w:pPr>
              <w:spacing w:after="60" w:before="60" w:line="240" w:lineRule="auto"/>
            </w:pPr>
            <w:r>
              <w:rPr>
                <w:b w:val="0"/>
                <w:sz w:val="20"/>
              </w:rPr>
              <w:t>DEC-02 Access</w:t>
            </w:r>
          </w:p>
        </w:tc>
        <w:tc>
          <w:tcPr>
            <w:tcW w:type="dxa" w:w="5040"/>
          </w:tcPr>
          <w:p>
            <w:pPr>
              <w:spacing w:after="60" w:before="60" w:line="240" w:lineRule="auto"/>
            </w:pPr>
            <w:r>
              <w:rPr>
                <w:b w:val="0"/>
                <w:sz w:val="20"/>
              </w:rPr>
              <w:t>Operations/IT: role permissions, corporate links, financial authority and sessions.</w:t>
            </w:r>
          </w:p>
        </w:tc>
        <w:tc>
          <w:tcPr>
            <w:tcW w:type="dxa" w:w="2592"/>
          </w:tcPr>
          <w:p>
            <w:pPr>
              <w:spacing w:after="60" w:before="60" w:line="240" w:lineRule="auto"/>
            </w:pPr>
            <w:r>
              <w:rPr>
                <w:b w:val="0"/>
                <w:sz w:val="20"/>
              </w:rPr>
              <w:t>Security UAT</w:t>
            </w:r>
          </w:p>
        </w:tc>
      </w:tr>
      <w:tr>
        <w:trPr>
          <w:cantSplit/>
        </w:trPr>
        <w:tc>
          <w:tcPr>
            <w:tcW w:type="dxa" w:w="2304"/>
          </w:tcPr>
          <w:p>
            <w:pPr>
              <w:spacing w:after="60" w:before="60" w:line="240" w:lineRule="auto"/>
            </w:pPr>
            <w:r>
              <w:rPr>
                <w:b w:val="0"/>
                <w:sz w:val="20"/>
              </w:rPr>
              <w:t>DEC-03 Availability</w:t>
            </w:r>
          </w:p>
        </w:tc>
        <w:tc>
          <w:tcPr>
            <w:tcW w:type="dxa" w:w="5040"/>
          </w:tcPr>
          <w:p>
            <w:pPr>
              <w:spacing w:after="60" w:before="60" w:line="240" w:lineRule="auto"/>
            </w:pPr>
            <w:r>
              <w:rPr>
                <w:b w:val="0"/>
                <w:sz w:val="20"/>
              </w:rPr>
              <w:t>Rental operations: asset/category allocation, holds, turnaround and cancellations.</w:t>
            </w:r>
          </w:p>
        </w:tc>
        <w:tc>
          <w:tcPr>
            <w:tcW w:type="dxa" w:w="2592"/>
          </w:tcPr>
          <w:p>
            <w:pPr>
              <w:spacing w:after="60" w:before="60" w:line="240" w:lineRule="auto"/>
            </w:pPr>
            <w:r>
              <w:rPr>
                <w:b w:val="0"/>
                <w:sz w:val="20"/>
              </w:rPr>
              <w:t>Booking UAT</w:t>
            </w:r>
          </w:p>
        </w:tc>
      </w:tr>
      <w:tr>
        <w:trPr>
          <w:cantSplit/>
        </w:trPr>
        <w:tc>
          <w:tcPr>
            <w:tcW w:type="dxa" w:w="2304"/>
          </w:tcPr>
          <w:p>
            <w:pPr>
              <w:spacing w:after="60" w:before="60" w:line="240" w:lineRule="auto"/>
            </w:pPr>
            <w:r>
              <w:rPr>
                <w:b w:val="0"/>
                <w:sz w:val="20"/>
              </w:rPr>
              <w:t>DEC-04 Commercial</w:t>
            </w:r>
          </w:p>
        </w:tc>
        <w:tc>
          <w:tcPr>
            <w:tcW w:type="dxa" w:w="5040"/>
          </w:tcPr>
          <w:p>
            <w:pPr>
              <w:spacing w:after="60" w:before="60" w:line="240" w:lineRule="auto"/>
            </w:pPr>
            <w:r>
              <w:rPr>
                <w:b w:val="0"/>
                <w:sz w:val="20"/>
              </w:rPr>
              <w:t>Finance/management: rates, tax, rounding, usage, thresholds and reapproval.</w:t>
            </w:r>
          </w:p>
        </w:tc>
        <w:tc>
          <w:tcPr>
            <w:tcW w:type="dxa" w:w="2592"/>
          </w:tcPr>
          <w:p>
            <w:pPr>
              <w:spacing w:after="60" w:before="60" w:line="240" w:lineRule="auto"/>
            </w:pPr>
            <w:r>
              <w:rPr>
                <w:b w:val="0"/>
                <w:sz w:val="20"/>
              </w:rPr>
              <w:t>Commercial UAT</w:t>
            </w:r>
          </w:p>
        </w:tc>
      </w:tr>
      <w:tr>
        <w:trPr>
          <w:cantSplit/>
        </w:trPr>
        <w:tc>
          <w:tcPr>
            <w:tcW w:type="dxa" w:w="2304"/>
          </w:tcPr>
          <w:p>
            <w:pPr>
              <w:spacing w:after="60" w:before="60" w:line="240" w:lineRule="auto"/>
            </w:pPr>
            <w:r>
              <w:rPr>
                <w:b w:val="0"/>
                <w:sz w:val="20"/>
              </w:rPr>
              <w:t>DEC-05 Bonds</w:t>
            </w:r>
          </w:p>
        </w:tc>
        <w:tc>
          <w:tcPr>
            <w:tcW w:type="dxa" w:w="5040"/>
          </w:tcPr>
          <w:p>
            <w:pPr>
              <w:spacing w:after="60" w:before="60" w:line="240" w:lineRule="auto"/>
            </w:pPr>
            <w:r>
              <w:rPr>
                <w:b w:val="0"/>
                <w:sz w:val="20"/>
              </w:rPr>
              <w:t>Finance/operations: receipt evidence, deductions, refunds and closure rules.</w:t>
            </w:r>
          </w:p>
        </w:tc>
        <w:tc>
          <w:tcPr>
            <w:tcW w:type="dxa" w:w="2592"/>
          </w:tcPr>
          <w:p>
            <w:pPr>
              <w:spacing w:after="60" w:before="60" w:line="240" w:lineRule="auto"/>
            </w:pPr>
            <w:r>
              <w:rPr>
                <w:b w:val="0"/>
                <w:sz w:val="20"/>
              </w:rPr>
              <w:t>Settlement UAT</w:t>
            </w:r>
          </w:p>
        </w:tc>
      </w:tr>
      <w:tr>
        <w:trPr>
          <w:cantSplit/>
        </w:trPr>
        <w:tc>
          <w:tcPr>
            <w:tcW w:type="dxa" w:w="2304"/>
          </w:tcPr>
          <w:p>
            <w:pPr>
              <w:spacing w:after="60" w:before="60" w:line="240" w:lineRule="auto"/>
            </w:pPr>
            <w:r>
              <w:rPr>
                <w:b w:val="0"/>
                <w:sz w:val="20"/>
              </w:rPr>
              <w:t>DEC-06 Inspections</w:t>
            </w:r>
          </w:p>
        </w:tc>
        <w:tc>
          <w:tcPr>
            <w:tcW w:type="dxa" w:w="5040"/>
          </w:tcPr>
          <w:p>
            <w:pPr>
              <w:spacing w:after="60" w:before="60" w:line="240" w:lineRule="auto"/>
            </w:pPr>
            <w:r>
              <w:rPr>
                <w:b w:val="0"/>
                <w:sz w:val="20"/>
              </w:rPr>
              <w:t>Operations/maintenance: photos, signatures, safety, meters, personnel and delivery.</w:t>
            </w:r>
          </w:p>
        </w:tc>
        <w:tc>
          <w:tcPr>
            <w:tcW w:type="dxa" w:w="2592"/>
          </w:tcPr>
          <w:p>
            <w:pPr>
              <w:spacing w:after="60" w:before="60" w:line="240" w:lineRule="auto"/>
            </w:pPr>
            <w:r>
              <w:rPr>
                <w:b w:val="0"/>
                <w:sz w:val="20"/>
              </w:rPr>
              <w:t>Lifecycle UAT</w:t>
            </w:r>
          </w:p>
        </w:tc>
      </w:tr>
      <w:tr>
        <w:trPr>
          <w:cantSplit/>
        </w:trPr>
        <w:tc>
          <w:tcPr>
            <w:tcW w:type="dxa" w:w="2304"/>
          </w:tcPr>
          <w:p>
            <w:pPr>
              <w:spacing w:after="60" w:before="60" w:line="240" w:lineRule="auto"/>
            </w:pPr>
            <w:r>
              <w:rPr>
                <w:b w:val="0"/>
                <w:sz w:val="20"/>
              </w:rPr>
              <w:t>DEC-07 Reports</w:t>
            </w:r>
          </w:p>
        </w:tc>
        <w:tc>
          <w:tcPr>
            <w:tcW w:type="dxa" w:w="5040"/>
          </w:tcPr>
          <w:p>
            <w:pPr>
              <w:spacing w:after="60" w:before="60" w:line="240" w:lineRule="auto"/>
            </w:pPr>
            <w:r>
              <w:rPr>
                <w:b w:val="0"/>
                <w:sz w:val="20"/>
              </w:rPr>
              <w:t>Management: layouts, revenue, costs and profitability definitions.</w:t>
            </w:r>
          </w:p>
        </w:tc>
        <w:tc>
          <w:tcPr>
            <w:tcW w:type="dxa" w:w="2592"/>
          </w:tcPr>
          <w:p>
            <w:pPr>
              <w:spacing w:after="60" w:before="60" w:line="240" w:lineRule="auto"/>
            </w:pPr>
            <w:r>
              <w:rPr>
                <w:b w:val="0"/>
                <w:sz w:val="20"/>
              </w:rPr>
              <w:t>Report acceptance</w:t>
            </w:r>
          </w:p>
        </w:tc>
      </w:tr>
      <w:tr>
        <w:trPr>
          <w:cantSplit/>
        </w:trPr>
        <w:tc>
          <w:tcPr>
            <w:tcW w:type="dxa" w:w="2304"/>
          </w:tcPr>
          <w:p>
            <w:pPr>
              <w:spacing w:after="60" w:before="60" w:line="240" w:lineRule="auto"/>
            </w:pPr>
            <w:r>
              <w:rPr>
                <w:b w:val="0"/>
                <w:sz w:val="20"/>
              </w:rPr>
              <w:t>DEC-08 Notifications</w:t>
            </w:r>
          </w:p>
        </w:tc>
        <w:tc>
          <w:tcPr>
            <w:tcW w:type="dxa" w:w="5040"/>
          </w:tcPr>
          <w:p>
            <w:pPr>
              <w:spacing w:after="60" w:before="60" w:line="240" w:lineRule="auto"/>
            </w:pPr>
            <w:r>
              <w:rPr>
                <w:b w:val="0"/>
                <w:sz w:val="20"/>
              </w:rPr>
              <w:t>Operations/IT: recipients, provider, retries, escalation and delivery evidence.</w:t>
            </w:r>
          </w:p>
        </w:tc>
        <w:tc>
          <w:tcPr>
            <w:tcW w:type="dxa" w:w="2592"/>
          </w:tcPr>
          <w:p>
            <w:pPr>
              <w:spacing w:after="60" w:before="60" w:line="240" w:lineRule="auto"/>
            </w:pPr>
            <w:r>
              <w:rPr>
                <w:b w:val="0"/>
                <w:sz w:val="20"/>
              </w:rPr>
              <w:t>Alert acceptance</w:t>
            </w:r>
          </w:p>
        </w:tc>
      </w:tr>
      <w:tr>
        <w:trPr>
          <w:cantSplit/>
        </w:trPr>
        <w:tc>
          <w:tcPr>
            <w:tcW w:type="dxa" w:w="2304"/>
          </w:tcPr>
          <w:p>
            <w:pPr>
              <w:spacing w:after="60" w:before="60" w:line="240" w:lineRule="auto"/>
            </w:pPr>
            <w:r>
              <w:rPr>
                <w:b w:val="0"/>
                <w:sz w:val="20"/>
              </w:rPr>
              <w:t>DEC-09 Deployment</w:t>
            </w:r>
          </w:p>
        </w:tc>
        <w:tc>
          <w:tcPr>
            <w:tcW w:type="dxa" w:w="5040"/>
          </w:tcPr>
          <w:p>
            <w:pPr>
              <w:spacing w:after="60" w:before="60" w:line="240" w:lineRule="auto"/>
            </w:pPr>
            <w:r>
              <w:rPr>
                <w:b w:val="0"/>
                <w:sz w:val="20"/>
              </w:rPr>
              <w:t>IT: hosting, file limits, retention, backups, capacity and recovery targets.</w:t>
            </w:r>
          </w:p>
        </w:tc>
        <w:tc>
          <w:tcPr>
            <w:tcW w:type="dxa" w:w="2592"/>
          </w:tcPr>
          <w:p>
            <w:pPr>
              <w:spacing w:after="60" w:before="60" w:line="240" w:lineRule="auto"/>
            </w:pPr>
            <w:r>
              <w:rPr>
                <w:b w:val="0"/>
                <w:sz w:val="20"/>
              </w:rPr>
              <w:t>Deployment</w:t>
            </w:r>
          </w:p>
        </w:tc>
      </w:tr>
      <w:tr>
        <w:trPr>
          <w:cantSplit/>
        </w:trPr>
        <w:tc>
          <w:tcPr>
            <w:tcW w:type="dxa" w:w="2304"/>
          </w:tcPr>
          <w:p>
            <w:pPr>
              <w:spacing w:after="60" w:before="60" w:line="240" w:lineRule="auto"/>
            </w:pPr>
            <w:r>
              <w:rPr>
                <w:b w:val="0"/>
                <w:sz w:val="20"/>
              </w:rPr>
              <w:t>DEC-10 Data</w:t>
            </w:r>
          </w:p>
        </w:tc>
        <w:tc>
          <w:tcPr>
            <w:tcW w:type="dxa" w:w="5040"/>
          </w:tcPr>
          <w:p>
            <w:pPr>
              <w:spacing w:after="60" w:before="60" w:line="240" w:lineRule="auto"/>
            </w:pPr>
            <w:r>
              <w:rPr>
                <w:b w:val="0"/>
                <w:sz w:val="20"/>
              </w:rPr>
              <w:t>Asset owners: identifiers, mappings, cleansing and migration reconciliation.</w:t>
            </w:r>
          </w:p>
        </w:tc>
        <w:tc>
          <w:tcPr>
            <w:tcW w:type="dxa" w:w="2592"/>
          </w:tcPr>
          <w:p>
            <w:pPr>
              <w:spacing w:after="60" w:before="60" w:line="240" w:lineRule="auto"/>
            </w:pPr>
            <w:r>
              <w:rPr>
                <w:b w:val="0"/>
                <w:sz w:val="20"/>
              </w:rPr>
              <w:t>Production import</w:t>
            </w:r>
          </w:p>
        </w:tc>
      </w:tr>
    </w:tbl>
    <w:p>
      <w:pPr>
        <w:pStyle w:val="Heading2"/>
      </w:pPr>
      <w:r>
        <w:t>12.2 Reference records</w:t>
      </w:r>
    </w:p>
    <w:p>
      <w:r>
        <w:t>[S1] CREMS Team. Software Requirements Specification version 1.0, 18 August 2026. Earlier detailed baseline used for requirement coverage.</w:t>
      </w:r>
    </w:p>
    <w:p>
      <w:r>
        <w:t>[S2] CREMS Team. CREMS Mid Term Review Report 2026 Updated, 16 September 2026. Current mid-term scope, module positions and report requirement families.</w:t>
      </w:r>
    </w:p>
    <w:p>
      <w:r>
        <w:t>[S3] CREMS repository. docs/requirements-register.md, docs/WORKFLOW_READINESS.md and docs/architecture.md. Decisions, readiness and architecture; reviewed 17 September 2026.</w:t>
      </w:r>
    </w:p>
    <w:p>
      <w:r>
        <w:t>[S4] CREMS repository. Domain/Identity/SystemRoles.cs and Domain/Rentals/BookingPolicy.cs within src/CREMS.Api. Roles, overlap, hold and transition rules; reviewed 17 September 2026.</w:t>
      </w:r>
    </w:p>
    <w:p>
      <w:r>
        <w:t>For this edition, S2 governs mid-term scope where it differs from S1: Shipping rental journeys are included; separate Driver/Operator and Finance Officer logins are excluded. This reconciliation is subject to the client's scope decision and does not imply a previously signed change approval.</w:t>
      </w:r>
    </w:p>
    <w:p>
      <w:pPr>
        <w:pStyle w:val="Heading2"/>
      </w:pPr>
      <w:r>
        <w:t>12.3 Change and approval control</w:t>
      </w:r>
    </w:p>
    <w:p>
      <w:r>
        <w:t>A change shall record its reason, affected IDs, schedule/security/data impact and revised tests. Approved changes shall receive a new version and retain traceability. Requirements approval and final software acceptance shall be recorded separately with approver, role, date and decision reference. No approval is implied by inclusion in the mid-term report.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CREMS SRS 1.1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59"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CREMS Software Requirements Specification</dc:title>
  <dc:subject>Mid-term report requirements specification</dc:subject>
  <dc:creator>CREMS Project Team</dc:creator>
  <cp:keywords/>
  <dc:description>generated by python-docx</dc:description>
  <cp:lastModifiedBy/>
  <cp:revision>1</cp:revision>
  <dcterms:created xsi:type="dcterms:W3CDTF">2013-12-23T23:15:00Z</dcterms:created>
  <dcterms:modified xsi:type="dcterms:W3CDTF">2013-12-23T23:15:00Z</dcterms:modified>
  <cp:category/>
  <cp:version>1.1</cp:version>
</cp:coreProperties>
</file>