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80"/>
        <w:jc w:val="center"/>
      </w:pPr>
      <w:r>
        <w:rPr>
          <w:b/>
          <w:bCs/>
          <w:color w:val="111827"/>
          <w:sz w:val="40"/>
          <w:szCs w:val="40"/>
        </w:rPr>
        <w:t xml:space="preserve">Integrated Anti-Money Laundering (AML) &amp;</w:t>
      </w:r>
    </w:p>
    <w:p>
      <w:pPr>
        <w:spacing w:after="240"/>
        <w:jc w:val="center"/>
      </w:pPr>
      <w:r>
        <w:rPr>
          <w:b/>
          <w:bCs/>
          <w:color w:val="111827"/>
          <w:sz w:val="40"/>
          <w:szCs w:val="40"/>
        </w:rPr>
        <w:t xml:space="preserve">Transaction Risk Management Platform</w:t>
      </w:r>
    </w:p>
    <w:p>
      <w:pPr>
        <w:spacing w:after="40"/>
        <w:jc w:val="center"/>
      </w:pPr>
      <w:r>
        <w:rPr>
          <w:color w:val="0F766E"/>
          <w:sz w:val="24"/>
          <w:szCs w:val="24"/>
        </w:rPr>
        <w:t xml:space="preserve">Project Report — Methodology, KPIs &amp; Deliverables</w:t>
      </w:r>
    </w:p>
    <w:p>
      <w:pPr>
        <w:spacing w:after="900"/>
        <w:jc w:val="center"/>
      </w:pPr>
      <w:r>
        <w:rPr>
          <w:i/>
          <w:iCs/>
          <w:color w:val="6B7280"/>
          <w:sz w:val="18"/>
          <w:szCs w:val="18"/>
        </w:rPr>
        <w:t xml:space="preserve">Built with Python, SQL (SQLite) &amp; an interactive web dashboard</w:t>
      </w:r>
    </w:p>
    <w:p>
      <w:pPr>
        <w:pBdr>
          <w:top w:val="single" w:color="D1D5DB" w:sz="4"/>
        </w:pBdr>
        <w:spacing w:before="900"/>
        <w:jc w:val="center"/>
      </w:pPr>
    </w:p>
    <w:p>
      <w:pPr>
        <w:spacing w:before="200"/>
        <w:jc w:val="center"/>
      </w:pPr>
      <w:r>
        <w:rPr>
          <w:color w:val="6B7280"/>
          <w:sz w:val="18"/>
          <w:szCs w:val="18"/>
        </w:rPr>
        <w:t xml:space="preserve">Prepared: September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t xml:space="preserve">This report documents an end-to-end AML and transaction risk management platform built against four source datasets: customers, banks, transactions, and sanctions. The platform covers all seven steps of the original brief: data integration and cleaning, real-time risk monitoring, rule-based fraud detection, customer risk profiling, compliance and sanctions monitoring, bank risk comparison, and a unified reporting layer.</w:t>
      </w:r>
    </w:p>
    <w:p>
      <w:pPr>
        <w:spacing w:after="160"/>
      </w:pPr>
      <w:r>
        <w:t xml:space="preserve">The full pipeline runs end-to-end with a single command (python run_pipeline.py) and takes under three seconds on the supplied datasets (1,000 customers, 1,010 banks, 1,000 transactions, 1,000 sanction records). It produces a SQLite database, a set of CSV data marts for every analytical step, a PDF fraud report, a KPI summary, and a self-contained interactive dashboard.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Headline result</w:t>
            </w:r>
          </w:p>
        </w:tc>
        <w:tc>
          <w:tcPr>
            <w:tcW w:type="dxa" w:w="4675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completeness / consistency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100.0% / 100.0%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Transactions flagged for the watchlist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 of 1,000 (60.0%)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Transactions requiring analyst review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146 (14.6%) — 14 Critical, 132 High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High-risk customers (computed segment)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101 of 1,000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 below the compliance threshold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199 of 1,010 (19.7%)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High-risk banks (risk score ≥ 50)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113 of 1,010 (11.2%)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2. Architecture &amp; Tech Stack</w:t>
      </w:r>
    </w:p>
    <w:p>
      <w:pPr>
        <w:spacing w:after="160"/>
      </w:pPr>
      <w:r>
        <w:t xml:space="preserve">The brief calls for Python, SQL, and Power BI/Tableau. This environment has no licensed BI tool and no running database server, so the platform substitutes the closest faithful equivalents without changing the analytical design: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 layer: SQLite, chosen for a real, runnable relational database with primary keys, foreign keys, and indexes, with every .sql file written in portable ANSI SQL — directly portable to PostgreSQL or MySQL (see notes in sql/01_schema.sql).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layer: pandas for data wrangling, matplotlib for the PDF report, sqlite3 for the database, smtplib for the (stubbed) alerting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Visualization layer: every data mart is exported as CSV, ready to import into Power BI or Tableau directly. A self-contained interactive HTML dashboard (Chart.js, vanilla JS, no server, no external dependency at runtime) is included as a working substitute in the meantime.</w:t>
      </w:r>
    </w:p>
    <w:p>
      <w:pPr>
        <w:pStyle w:val="Heading2"/>
        <w:spacing w:after="120" w:before="260"/>
      </w:pPr>
      <w:r>
        <w:t xml:space="preserve">Pipeline flow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raw_data/*.csv  →  SQLite staging tables  →  cleaned relational schema  →  feature engineering  →  [fraud rules | customer profiling | compliance monitoring | bank comparison]  →  KPI summary &amp; alerts  →  dashboard.html</w:t>
      </w:r>
    </w:p>
    <w:p>
      <w:pPr>
        <w:pStyle w:val="Heading1"/>
        <w:spacing w:after="160" w:before="360"/>
      </w:pPr>
      <w:r>
        <w:t xml:space="preserve">3. Methodology &amp; Results by Step</w:t>
      </w:r>
    </w:p>
    <w:p>
      <w:pPr>
        <w:pStyle w:val="Heading2"/>
        <w:spacing w:after="120" w:before="260"/>
      </w:pPr>
      <w:r>
        <w:t xml:space="preserve">Step 1 — Data Integration, Cleaning, Feature Engineering &amp; KPIs</w:t>
      </w:r>
    </w:p>
    <w:p>
      <w:pPr>
        <w:spacing w:after="160"/>
      </w:pPr>
      <w:r>
        <w:t xml:space="preserve">The four CSVs were loaded into staging tables, then validated and cleaned: null checks across every column, deduplication on primary keys and on a full business-key match, date standardization to YYYY-MM-DD, and referential-integrity checks (orphaned customer_id / bank_id foreign keys). An IQR-based outlier scan was run on transaction amounts.</w:t>
      </w:r>
    </w:p>
    <w:p>
      <w:pPr>
        <w:spacing w:after="160"/>
      </w:pPr>
      <w:r>
        <w:t xml:space="preserve">Result: the supplied data was already clean — 0 nulls, 0 duplicate keys, 0 orphaned foreign keys, 0 IQR outliers, 100% ISO-date consistency. Feature engineering then built customer-level, bank-level, and region-level tables (transaction frequency, average/total/max amount, high-risk transaction counts, sanction counts) plus a transaction-level risk-flag table consumed by every later step.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50"/>
      </w:tblGrid>
      <w:tr>
        <w:tc>
          <w:tcPr>
            <w:tcW w:type="dxa" w:w="600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Data-quality KPI</w:t>
            </w:r>
          </w:p>
        </w:tc>
        <w:tc>
          <w:tcPr>
            <w:tcW w:type="dxa" w:w="335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completeness rate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6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consistency score (date format)</w:t>
            </w:r>
          </w:p>
        </w:tc>
        <w:tc>
          <w:tcPr>
            <w:tcW w:type="dxa" w:w="33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coverage (customers with ≥1 transaction)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64.0% (640 of 1,000)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Step 2 — Real-Time Transaction Risk Monitoring</w:t>
      </w:r>
    </w:p>
    <w:p>
      <w:pPr>
        <w:spacing w:after="160"/>
      </w:pPr>
      <w:r>
        <w:t xml:space="preserve">The source data has no latitude/longitude, so the brief's map visualization is implemented as a regional risk heatmap (North / South / East / West), which is the finest geography actually present (customer region, bank region). Each region is scored by the share of its transactions flagged high-risk, color-coded green→amber→red, alongside transaction count and average amount.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c>
          <w:tcPr>
            <w:tcW w:type="dxa" w:w="2337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Region</w:t>
            </w:r>
          </w:p>
        </w:tc>
        <w:tc>
          <w:tcPr>
            <w:tcW w:type="dxa" w:w="2337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Txn Count</w:t>
            </w:r>
          </w:p>
        </w:tc>
        <w:tc>
          <w:tcPr>
            <w:tcW w:type="dxa" w:w="2337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Avg Amount</w:t>
            </w:r>
          </w:p>
        </w:tc>
        <w:tc>
          <w:tcPr>
            <w:tcW w:type="dxa" w:w="2339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High-Risk %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East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257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$4,976</w:t>
            </w:r>
          </w:p>
        </w:tc>
        <w:tc>
          <w:tcPr>
            <w:tcW w:type="dxa" w:w="233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54.5%</w:t>
            </w:r>
          </w:p>
        </w:tc>
      </w:tr>
      <w:tr>
        <w:tc>
          <w:tcPr>
            <w:tcW w:type="dxa" w:w="233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</w:t>
            </w:r>
          </w:p>
        </w:tc>
        <w:tc>
          <w:tcPr>
            <w:tcW w:type="dxa" w:w="233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243</w:t>
            </w:r>
          </w:p>
        </w:tc>
        <w:tc>
          <w:tcPr>
            <w:tcW w:type="dxa" w:w="233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$4,925</w:t>
            </w:r>
          </w:p>
        </w:tc>
        <w:tc>
          <w:tcPr>
            <w:tcW w:type="dxa" w:w="2339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53.5%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West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247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$5,054</w:t>
            </w:r>
          </w:p>
        </w:tc>
        <w:tc>
          <w:tcPr>
            <w:tcW w:type="dxa" w:w="233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47.8%</w:t>
            </w:r>
          </w:p>
        </w:tc>
      </w:tr>
      <w:tr>
        <w:tc>
          <w:tcPr>
            <w:tcW w:type="dxa" w:w="233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South</w:t>
            </w:r>
          </w:p>
        </w:tc>
        <w:tc>
          <w:tcPr>
            <w:tcW w:type="dxa" w:w="233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253</w:t>
            </w:r>
          </w:p>
        </w:tc>
        <w:tc>
          <w:tcPr>
            <w:tcW w:type="dxa" w:w="233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$4,796</w:t>
            </w:r>
          </w:p>
        </w:tc>
        <w:tc>
          <w:tcPr>
            <w:tcW w:type="dxa" w:w="2339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47.0%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Alert Timeliness (time for compliance teams to respond to a flagged transaction) cannot be computed from the source data — there is no incident-response timestamp. The alerting step now writes a timestamped entry to reports/alerts_log.csv for every threshold breach going forward, which is what this KPI would be measured against once response times are logged.</w:t>
      </w:r>
    </w:p>
    <w:p>
      <w:pPr>
        <w:pStyle w:val="Heading2"/>
        <w:spacing w:after="120" w:before="260"/>
      </w:pPr>
      <w:r>
        <w:t xml:space="preserve">Step 3 — Rule-Based Fraud Detection System</w:t>
      </w:r>
    </w:p>
    <w:p>
      <w:pPr>
        <w:spacing w:after="160"/>
      </w:pPr>
      <w:r>
        <w:t xml:space="preserve">Six candidate rules were evaluated: large single transaction (&gt;$9,000, just under the $10k CTR threshold), high transaction frequency, high-risk transaction location, low bank compliance score, and sanctions history on the customer or the bank. An equally-weighted combination of all rules was tried first and rejected: the supplied sanctions.csv covers roughly 85% of all transactions' customers or banks — far denser than a real watchlist — so it dominated the score and flagged 74% of all transactions, which is not actionable for an AML team.</w:t>
      </w:r>
    </w:p>
    <w:p>
      <w:pPr>
        <w:spacing w:after="160"/>
      </w:pPr>
      <w:r>
        <w:t xml:space="preserve">The final design scores transactional behaviour (large amount, frequency, location, low compliance — 0 to 4 points) separately from sanctions history (0 or 1 point), matching standard AML practice where a watchlist hit is a hard compliance control rather than one more point in a blended score. fraud_score = behavioural score + sanctions flag (0–5).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50"/>
      </w:tblGrid>
      <w:tr>
        <w:tc>
          <w:tcPr>
            <w:tcW w:type="dxa" w:w="600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Fraud-detection KPI</w:t>
            </w:r>
          </w:p>
        </w:tc>
        <w:tc>
          <w:tcPr>
            <w:tcW w:type="dxa" w:w="335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Flagged for the watchlist (fraud_score ≥ 2)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 of 1,000 (60.0%)</w:t>
            </w:r>
          </w:p>
        </w:tc>
      </w:tr>
      <w:tr>
        <w:tc>
          <w:tcPr>
            <w:tcW w:type="dxa" w:w="6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Requires analyst review (fraud_score ≥ 3)</w:t>
            </w:r>
          </w:p>
        </w:tc>
        <w:tc>
          <w:tcPr>
            <w:tcW w:type="dxa" w:w="33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146 (14.6%)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 severity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severity</w:t>
            </w:r>
          </w:p>
        </w:tc>
        <w:tc>
          <w:tcPr>
            <w:tcW w:type="dxa" w:w="33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 Positive Rate / Detection Accuracy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computable — no analyst disposition data in source files (see §5)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Step 4 — Customer Risk Profiling &amp; Segmentation</w:t>
      </w:r>
    </w:p>
    <w:p>
      <w:pPr>
        <w:spacing w:after="160"/>
      </w:pPr>
      <w:r>
        <w:t xml:space="preserve">Each customer gets a composite 0–100 risk score blending high-risk transaction count, large-transaction count, sanction count, and their stated risk_level, then a computed segment (Low / Medium / High). This was checked against the customer's stated risk_level as a sense-check, not ground truth — the two are independent signals (one behavioural, one on-file) and are expected to diverge somewhat.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50"/>
      </w:tblGrid>
      <w:tr>
        <w:tc>
          <w:tcPr>
            <w:tcW w:type="dxa" w:w="600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Customer-profiling KPI</w:t>
            </w:r>
          </w:p>
        </w:tc>
        <w:tc>
          <w:tcPr>
            <w:tcW w:type="dxa" w:w="335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High-risk customer count (computed)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6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Segmentation agreement with stated risk_level</w:t>
            </w:r>
          </w:p>
        </w:tc>
        <w:tc>
          <w:tcPr>
            <w:tcW w:type="dxa" w:w="33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57.6%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Profile completeness rate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64.0%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Step 5 — Compliance &amp; Sanctions Monitoring</w:t>
      </w:r>
    </w:p>
    <w:p>
      <w:pPr>
        <w:spacing w:after="160"/>
      </w:pPr>
      <w:r>
        <w:t xml:space="preserve">Every bank's compliance_score is paired with its sanctions history (count and reason breakdown: Money Laundering / Fraud / Compliance Violation) and classified into Adequate / Watch / Below Threshold bands.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50"/>
      </w:tblGrid>
      <w:tr>
        <w:tc>
          <w:tcPr>
            <w:tcW w:type="dxa" w:w="600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Compliance KPI</w:t>
            </w:r>
          </w:p>
        </w:tc>
        <w:tc>
          <w:tcPr>
            <w:tcW w:type="dxa" w:w="335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sanctioned accounts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6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bank compliance score</w:t>
            </w:r>
          </w:p>
        </w:tc>
        <w:tc>
          <w:tcPr>
            <w:tcW w:type="dxa" w:w="33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0.751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Compliance gap (banks below 0.60)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19.7% (199 of 1,010)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Step 6 — Bank Risk Comparison &amp; Analysis</w:t>
      </w:r>
    </w:p>
    <w:p>
      <w:pPr>
        <w:spacing w:after="160"/>
      </w:pPr>
      <w:r>
        <w:t xml:space="preserve">A composite bank_risk_score (0–100) blends inverse compliance score, sanctioned-account count, and high-risk transaction share, letting auditors rank every bank and drill into the highest-risk ones directly.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50"/>
      </w:tblGrid>
      <w:tr>
        <w:tc>
          <w:tcPr>
            <w:tcW w:type="dxa" w:w="600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Bank-comparison KPI</w:t>
            </w:r>
          </w:p>
        </w:tc>
        <w:tc>
          <w:tcPr>
            <w:tcW w:type="dxa" w:w="335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High-risk banks (score ≥ 50)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113 of 1,010 (11.2%)</w:t>
            </w:r>
          </w:p>
        </w:tc>
      </w:tr>
      <w:tr>
        <w:tc>
          <w:tcPr>
            <w:tcW w:type="dxa" w:w="6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bank risk score</w:t>
            </w:r>
          </w:p>
        </w:tc>
        <w:tc>
          <w:tcPr>
            <w:tcW w:type="dxa" w:w="33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29.17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Riskiest bank in this dataset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508 / Bank 651 (tied, score 78.4)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Step 7 — Unified Monitoring &amp; Reporting</w:t>
      </w:r>
    </w:p>
    <w:p>
      <w:pPr>
        <w:spacing w:after="160"/>
      </w:pPr>
      <w:r>
        <w:t xml:space="preserve">All six modules feed one kpi_summary.csv/json and a shared alerts_log.csv. Two threshold-based alerts fire automatically on this dataset: 14 Critical-severity fraud flags, and 199 banks below the compliance threshold. The alerting function (send_email_alert) is a real smtplib integration — supply SMTP credentials to activate it; with none configured it logs what it would have sent instead of silently no-op'ing.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Dashboard</w:t>
      </w:r>
    </w:p>
    <w:p>
      <w:pPr>
        <w:spacing w:after="160"/>
      </w:pPr>
      <w:r>
        <w:t xml:space="preserve">dashboard.html is a single, self-contained file (no server, no internet connection required — Chart.js is bundled inline) with six linked views: Overview, Risk Monitoring, Fraud Detection, Customer Profiling, Compliance &amp; Sanctions, and Bank Comparison. Every table supports search, filtering, and column sorting.</w:t>
      </w:r>
    </w:p>
    <w:p>
      <w:pPr>
        <w:spacing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7"/>
          <w:szCs w:val="17"/>
        </w:rPr>
        <w:t xml:space="preserve">Overview — unified KPIs, active alerts, module status</w:t>
      </w:r>
    </w:p>
    <w:p>
      <w:pPr>
        <w:spacing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7"/>
          <w:szCs w:val="17"/>
        </w:rPr>
        <w:t xml:space="preserve">Fraud Detection — severity/score breakdown and a searchable, sortable flagged-transaction table</w:t>
      </w:r>
    </w:p>
    <w:p>
      <w:pPr>
        <w:spacing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7"/>
          <w:szCs w:val="17"/>
        </w:rPr>
        <w:t xml:space="preserve">Bank Comparison — top-10 riskiest banks and a compliance-vs-risk bubble chart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Known Limitations &amp; Recommended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False Positive Rate and Detection Accuracy require analyst-confirmed outcomes per flagged transaction. reports/fraud_disposition_log_template.csv is provided so compliance staff can log Confirmed Fraud / Cleared / Escalated per case; both KPIs become a one-line ratio once populated.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 Timeliness requires an incident-response timestamp not present in the source data. reports/alerts_log.csv now timestamps every alert going forward as the basis for this measurement.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sanctions dataset's unusually broad coverage (~85% of transactions touch a sanctioned party) means it was deliberately down-weighted in the fraud rules (§3, Step 3) rather than treated as a strong standalone signal, which it would be on real, sparse watchlist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true geographic coordinates exist in the source data, so Step 2's map is implemented as a four-region heatmap rather than a literal map. If lat/long or city-level geocoding becomes available, the same region_features table extends directly to a real choropleth in Power BI/Tableau or the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alerting is wired to a real SMTP integration but has no credentials configured in this environment; supply them in 07_unified_kpis_and_alerts.py to activate live email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production use against a live database, swap SQLite for PostgreSQL/MySQL by pointing db_utils.py at that connection — the .sql files need no rewriting.</w:t>
      </w:r>
    </w:p>
    <w:p>
      <w:pPr>
        <w:pStyle w:val="Heading1"/>
        <w:spacing w:after="160" w:before="360"/>
      </w:pPr>
      <w:r>
        <w:t xml:space="preserve">6. Deliverables Guide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15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run_pipeline.py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command that runs the entire platform end-to-end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sql/01 – 07</w:t>
            </w:r>
          </w:p>
        </w:tc>
        <w:tc>
          <w:tcPr>
            <w:tcW w:type="dxa" w:w="61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Schema, cleaning, feature engineering, and all five analytical modules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python/01 – 09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Python driver for every SQL step, plus report and dashboard generation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aml_platform.db</w:t>
            </w:r>
          </w:p>
        </w:tc>
        <w:tc>
          <w:tcPr>
            <w:tcW w:type="dxa" w:w="61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SQLite database — browse with any SQLite client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data_marts/*.csv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clean table and analytical output — import directly into Power BI/Tableau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reports/AML_Fraud_Detection_Report.pdf</w:t>
            </w:r>
          </w:p>
        </w:tc>
        <w:tc>
          <w:tcPr>
            <w:tcW w:type="dxa" w:w="61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Print-ready summary for the AML team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reports/fraud_disposition_log_template.csv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 for analysts to log review outcomes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reports/alerts_log.csv</w:t>
            </w:r>
          </w:p>
        </w:tc>
        <w:tc>
          <w:tcPr>
            <w:tcW w:type="dxa" w:w="61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Timestamped log of threshold-breach alerts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unified, self-contained interactive dashboard — open in any browser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61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instructions and full design-decision rationale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Integrated AML &amp; Transaction Risk Management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</w:pPr>
    <w:rPr>
      <w:rFonts w:ascii="Calibri" w:cs="Calibri" w:eastAsia="Calibri" w:hAnsi="Calibri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87186ba87f14e85695c31d6b58e467959bd422.png"/><Relationship Id="rId10" Type="http://schemas.openxmlformats.org/officeDocument/2006/relationships/image" Target="media/7ca087e124497bbc038839c3de565f78074a7302.png"/><Relationship Id="rId11" Type="http://schemas.openxmlformats.org/officeDocument/2006/relationships/image" Target="media/eb7c89052081057cf8b3f6ff8f08cc2ea4bd27e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2026-09-02T07:42:36.720Z</dcterms:created>
  <dcterms:modified xsi:type="dcterms:W3CDTF">2026-09-02T07:42:36.721Z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