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0" w:after="20"/>
        <w:jc w:val="center"/>
      </w:pPr>
      <w:r>
        <w:drawing>
          <wp:inline xmlns:a="http://schemas.openxmlformats.org/drawingml/2006/main" xmlns:pic="http://schemas.openxmlformats.org/drawingml/2006/picture">
            <wp:extent cx="566928" cy="394145"/>
            <wp:docPr id="1" name="Picture 1"/>
            <wp:cNvGraphicFramePr>
              <a:graphicFrameLocks noChangeAspect="1"/>
            </wp:cNvGraphicFramePr>
            <a:graphic>
              <a:graphicData uri="http://schemas.openxmlformats.org/drawingml/2006/picture">
                <pic:pic>
                  <pic:nvPicPr>
                    <pic:cNvPr id="0" name="owl_refined.png"/>
                    <pic:cNvPicPr/>
                  </pic:nvPicPr>
                  <pic:blipFill>
                    <a:blip r:embed="rId10"/>
                    <a:stretch>
                      <a:fillRect/>
                    </a:stretch>
                  </pic:blipFill>
                  <pic:spPr>
                    <a:xfrm>
                      <a:off x="0" y="0"/>
                      <a:ext cx="566928" cy="394145"/>
                    </a:xfrm>
                    <a:prstGeom prst="rect"/>
                  </pic:spPr>
                </pic:pic>
              </a:graphicData>
            </a:graphic>
          </wp:inline>
        </w:drawing>
      </w:r>
    </w:p>
    <w:p>
      <w:pPr>
        <w:spacing w:before="0" w:after="20"/>
        <w:jc w:val="center"/>
      </w:pPr>
      <w:r>
        <w:rPr>
          <w:rFonts w:ascii="Playfair Display" w:hAnsi="Playfair Display" w:cs="Playfair Display" w:eastAsia="Playfair Display"/>
          <w:b/>
          <w:i w:val="0"/>
          <w:color w:val="201C15"/>
          <w:sz w:val="29"/>
          <w:spacing w:val="70"/>
        </w:rPr>
        <w:t>LEVITATTE</w:t>
      </w:r>
    </w:p>
    <w:p>
      <w:pPr>
        <w:spacing w:before="0" w:after="140"/>
        <w:jc w:val="center"/>
      </w:pPr>
      <w:r>
        <w:rPr>
          <w:rFonts w:ascii="Inter" w:hAnsi="Inter" w:cs="Inter" w:eastAsia="Inter"/>
          <w:b/>
          <w:i w:val="0"/>
          <w:color w:val="937425"/>
          <w:sz w:val="12"/>
          <w:spacing w:val="38"/>
        </w:rPr>
        <w:t>LEARNING  &amp;  DEVELOPMENT</w:t>
      </w:r>
    </w:p>
    <w:p>
      <w:pPr>
        <w:spacing w:before="0" w:after="40" w:line="254" w:lineRule="auto"/>
        <w:jc w:val="center"/>
      </w:pPr>
      <w:r>
        <w:rPr>
          <w:rFonts w:ascii="Playfair Display" w:hAnsi="Playfair Display" w:cs="Playfair Display" w:eastAsia="Playfair Display"/>
          <w:b/>
          <w:i w:val="0"/>
          <w:color w:val="201C15"/>
          <w:sz w:val="29"/>
        </w:rPr>
        <w:t>Transforming Hospital Teams.</w:t>
      </w:r>
    </w:p>
    <w:p>
      <w:pPr>
        <w:spacing w:before="0" w:after="40" w:line="254" w:lineRule="auto"/>
        <w:jc w:val="center"/>
      </w:pPr>
      <w:r>
        <w:rPr>
          <w:rFonts w:ascii="Playfair Display" w:hAnsi="Playfair Display" w:cs="Playfair Display" w:eastAsia="Playfair Display"/>
          <w:b/>
          <w:i w:val="0"/>
          <w:color w:val="201C15"/>
          <w:sz w:val="29"/>
        </w:rPr>
        <w:t>Elevating Every Patient Experience.</w:t>
      </w:r>
    </w:p>
    <w:p>
      <w:pPr>
        <w:spacing w:before="60" w:after="40" w:line="278" w:lineRule="auto"/>
        <w:jc w:val="center"/>
      </w:pPr>
      <w:r>
        <w:rPr>
          <w:rFonts w:ascii="Playfair Display" w:hAnsi="Playfair Display" w:cs="Playfair Display" w:eastAsia="Playfair Display"/>
          <w:b w:val="0"/>
          <w:i/>
          <w:color w:val="4A4233"/>
          <w:sz w:val="19"/>
        </w:rPr>
        <w:t>A structured 90-day learning and development programme</w:t>
      </w:r>
    </w:p>
    <w:p>
      <w:pPr>
        <w:spacing w:before="0" w:after="120" w:line="298" w:lineRule="auto"/>
        <w:jc w:val="center"/>
      </w:pPr>
      <w:r>
        <w:rPr>
          <w:rFonts w:ascii="Inter" w:hAnsi="Inter" w:cs="Inter" w:eastAsia="Inter"/>
          <w:b/>
          <w:i w:val="0"/>
          <w:color w:val="937425"/>
          <w:sz w:val="12"/>
          <w:spacing w:val="26"/>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DDD7C8"/>
          <w:left w:val="none" w:sz="6" w:space="0" w:color="DDD7C8"/>
          <w:bottom w:val="single" w:sz="6" w:space="0" w:color="DDD7C8"/>
          <w:right w:val="none" w:sz="6" w:space="0" w:color="DDD7C8"/>
          <w:insideH w:val="none" w:sz="6" w:space="0" w:color="DDD7C8"/>
          <w:insideV w:val="none" w:sz="6" w:space="0" w:color="DDD7C8"/>
        </w:tblBorders>
        <w:tblLayout w:type="fixed"/>
      </w:tblPr>
      <w:tblGrid>
        <w:gridCol w:w="7272"/>
        <w:gridCol w:w="2332"/>
      </w:tblGrid>
      <w:tr>
        <w:tc>
          <w:tcPr>
            <w:tcW w:type="dxa" w:w="7272"/>
            <w:tcMar>
              <w:top w:w="58" w:type="dxa"/>
              <w:bottom w:w="58" w:type="dxa"/>
              <w:left w:w="0" w:type="dxa"/>
              <w:right w:w="60" w:type="dxa"/>
            </w:tcMar>
          </w:tcPr>
          <w:p>
            <w:pPr>
              <w:spacing w:before="0" w:after="0" w:line="288" w:lineRule="auto"/>
            </w:pPr>
            <w:r>
              <w:rPr>
                <w:rFonts w:ascii="Inter" w:hAnsi="Inter" w:cs="Inter" w:eastAsia="Inter"/>
                <w:b w:val="0"/>
                <w:i w:val="0"/>
                <w:color w:val="201C15"/>
                <w:sz w:val="16"/>
              </w:rPr>
              <w:t>Prepared for the leadership of Dr. Rela Institute &amp; Medical Centre, Chromepet, Chennai</w:t>
            </w:r>
          </w:p>
        </w:tc>
        <w:tc>
          <w:tcPr>
            <w:tcW w:type="dxa" w:w="2333"/>
            <w:tcMar>
              <w:top w:w="58" w:type="dxa"/>
              <w:bottom w:w="58" w:type="dxa"/>
              <w:left w:w="60" w:type="dxa"/>
              <w:right w:w="60" w:type="dxa"/>
            </w:tcMar>
          </w:tcPr>
          <w:p>
            <w:pPr>
              <w:spacing w:before="0" w:after="0" w:line="288" w:lineRule="auto"/>
              <w:jc w:val="right"/>
            </w:pPr>
            <w:r>
              <w:rPr>
                <w:rFonts w:ascii="Inter" w:hAnsi="Inter" w:cs="Inter" w:eastAsia="Inter"/>
                <w:b/>
                <w:i w:val="0"/>
                <w:color w:val="8A867C"/>
                <w:sz w:val="14"/>
                <w:spacing w:val="24"/>
              </w:rPr>
              <w:t>AUGUST 2026</w:t>
            </w:r>
          </w:p>
        </w:tc>
      </w:tr>
    </w:tbl>
    <w:p>
      <w:pPr>
        <w:spacing w:before="0" w:after="40"/>
      </w:pPr>
      <w:r>
        <w:rPr>
          <w:rFonts w:ascii="Inter" w:hAnsi="Inter" w:cs="Inter" w:eastAsia="Inter"/>
          <w:b w:val="0"/>
          <w:i w:val="0"/>
          <w:color w:val="201C15"/>
          <w:sz w:val="2"/>
        </w:rPr>
      </w:r>
    </w:p>
    <w:p>
      <w:pPr>
        <w:keepNext/>
        <w:spacing w:before="100" w:after="40"/>
      </w:pPr>
      <w:r>
        <w:rPr>
          <w:rFonts w:ascii="Playfair Display" w:hAnsi="Playfair Display" w:cs="Playfair Display" w:eastAsia="Playfair Display"/>
          <w:b/>
          <w:i w:val="0"/>
          <w:color w:val="B08930"/>
          <w:sz w:val="16"/>
        </w:rPr>
        <w:t xml:space="preserve">01   </w:t>
      </w:r>
      <w:r>
        <w:rPr>
          <w:rFonts w:ascii="Inter" w:hAnsi="Inter" w:cs="Inter" w:eastAsia="Inter"/>
          <w:b/>
          <w:i w:val="0"/>
          <w:color w:val="937425"/>
          <w:sz w:val="13"/>
          <w:spacing w:val="42"/>
        </w:rPr>
        <w:t>THE PROPOSITION</w:t>
      </w:r>
    </w:p>
    <w:p>
      <w:pPr>
        <w:keepNext/>
        <w:spacing w:before="0" w:after="70" w:line="254" w:lineRule="auto"/>
      </w:pPr>
      <w:r>
        <w:rPr>
          <w:rFonts w:ascii="Playfair Display" w:hAnsi="Playfair Display" w:cs="Playfair Display" w:eastAsia="Playfair Display"/>
          <w:b/>
          <w:i w:val="0"/>
          <w:color w:val="201C15"/>
          <w:sz w:val="25"/>
        </w:rPr>
        <w:t>Why this matters</w:t>
      </w:r>
    </w:p>
    <w:p>
      <w:pPr>
        <w:spacing w:before="0" w:after="90" w:line="283" w:lineRule="auto"/>
        <w:jc w:val="both"/>
      </w:pPr>
      <w:r>
        <w:rPr>
          <w:rFonts w:ascii="Inter" w:hAnsi="Inter" w:cs="Inter" w:eastAsia="Inter"/>
          <w:b w:val="0"/>
          <w:i w:val="0"/>
          <w:color w:val="555149"/>
          <w:sz w:val="15"/>
        </w:rPr>
        <w:t>Every patient interaction shapes the reputation of a hospital. From the first telephone call and the registration counter through treatment coordination, billing and discharge, patients and their families expect clarity, compassion, professionalism and confidence.</w:t>
      </w:r>
    </w:p>
    <w:p>
      <w:pPr>
        <w:spacing w:before="0" w:after="90" w:line="283" w:lineRule="auto"/>
        <w:jc w:val="both"/>
      </w:pPr>
      <w:r>
        <w:rPr>
          <w:rFonts w:ascii="Inter" w:hAnsi="Inter" w:cs="Inter" w:eastAsia="Inter"/>
          <w:b w:val="0"/>
          <w:i w:val="0"/>
          <w:color w:val="555149"/>
          <w:sz w:val="15"/>
        </w:rPr>
        <w:t>Across a full episode of care the treating consultant is present for only some of the patient's time in the building. The rest belongs to front office, patient relations, billing, nursing and clinical support, housekeeping and security, who hold the experience together at moments the clinician never sees. Clinical excellence can be concentrated in specialists; the experience of being cared for cannot, because it is assembled touchpoint by touchpoint. That consistency is a capability, and it is trainable.</w:t>
      </w:r>
    </w:p>
    <w:p>
      <w:pPr>
        <w:spacing w:before="0" w:after="80" w:line="283" w:lineRule="auto"/>
        <w:jc w:val="both"/>
      </w:pPr>
      <w:r>
        <w:rPr>
          <w:rFonts w:ascii="Inter" w:hAnsi="Inter" w:cs="Inter" w:eastAsia="Inter"/>
          <w:b w:val="0"/>
          <w:i w:val="0"/>
          <w:color w:val="4A4233"/>
          <w:sz w:val="14"/>
        </w:rPr>
        <w:t>What the programme builds: awareness and self-efficacy · personality and image · emotional intelligence and empathy enhancement · quality, service excellence and proactive service · service recovery, conflict resolution, incident reporting and crisis management · interdepartmental coordination and communication · resilience, self-motivation and stress management · brand awareness · forecasted thinking about daily operations.</w:t>
      </w:r>
    </w:p>
    <w:p>
      <w:pPr>
        <w:keepNext/>
        <w:spacing w:before="100" w:after="40"/>
      </w:pPr>
      <w:r>
        <w:rPr>
          <w:rFonts w:ascii="Playfair Display" w:hAnsi="Playfair Display" w:cs="Playfair Display" w:eastAsia="Playfair Display"/>
          <w:b/>
          <w:i w:val="0"/>
          <w:color w:val="B08930"/>
          <w:sz w:val="16"/>
        </w:rPr>
        <w:t xml:space="preserve">02   </w:t>
      </w:r>
      <w:r>
        <w:rPr>
          <w:rFonts w:ascii="Inter" w:hAnsi="Inter" w:cs="Inter" w:eastAsia="Inter"/>
          <w:b/>
          <w:i w:val="0"/>
          <w:color w:val="937425"/>
          <w:sz w:val="13"/>
          <w:spacing w:val="42"/>
        </w:rPr>
        <w:t>COMMERCIAL TERMS</w:t>
      </w:r>
    </w:p>
    <w:p>
      <w:pPr>
        <w:keepNext/>
        <w:spacing w:before="0" w:after="70" w:line="254" w:lineRule="auto"/>
      </w:pPr>
      <w:r>
        <w:rPr>
          <w:rFonts w:ascii="Playfair Display" w:hAnsi="Playfair Display" w:cs="Playfair Display" w:eastAsia="Playfair Display"/>
          <w:b/>
          <w:i w:val="0"/>
          <w:color w:val="201C15"/>
          <w:sz w:val="25"/>
        </w:rPr>
        <w:t>The engagement at a glance</w:t>
      </w:r>
    </w:p>
    <w:tbl>
      <w:tblPr>
        <w:tblW w:type="auto" w:w="0"/>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476"/>
        <w:gridCol w:w="7128"/>
      </w:tblGrid>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ENGAGEMENT DURATION</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90 days (approximately 13 weeks)</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TRAINING DAYS</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Every Wednesday, Thursday and Friday</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SESSION DURATION</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4 hours per session</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BATCH SIZE</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Up to 30 participants per batch</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SESSIONS IN THE ENGAGEMENT</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Up to 39 (36 to 39 subject to start date and hospital holidays)</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FACILITATOR-LED HOURS</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Up to 156 hours (144 to 156)</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PROFESSIONAL FEE</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Rs 2,00,000 per month, fixed</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GST</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As applicable</w:t>
            </w:r>
          </w:p>
        </w:tc>
      </w:tr>
      <w:tr>
        <w:tc>
          <w:tcPr>
            <w:tcW w:type="dxa" w:w="2477"/>
            <w:tcMar>
              <w:top w:w="36" w:type="dxa"/>
              <w:bottom w:w="36" w:type="dxa"/>
              <w:left w:w="0" w:type="dxa"/>
              <w:right w:w="40" w:type="dxa"/>
            </w:tcMar>
          </w:tcPr>
          <w:p>
            <w:pPr>
              <w:spacing w:before="0" w:after="0" w:line="274" w:lineRule="auto"/>
            </w:pPr>
            <w:r>
              <w:rPr>
                <w:rFonts w:ascii="Inter" w:hAnsi="Inter" w:cs="Inter" w:eastAsia="Inter"/>
                <w:b/>
                <w:i w:val="0"/>
                <w:color w:val="937425"/>
                <w:sz w:val="12"/>
                <w:spacing w:val="22"/>
              </w:rPr>
              <w:t>TOTAL ENGAGEMENT VALUE</w:t>
            </w:r>
          </w:p>
        </w:tc>
        <w:tc>
          <w:tcPr>
            <w:tcW w:type="dxa" w:w="7128"/>
            <w:tcMar>
              <w:top w:w="36" w:type="dxa"/>
              <w:bottom w:w="36" w:type="dxa"/>
              <w:left w:w="40" w:type="dxa"/>
              <w:right w:w="40" w:type="dxa"/>
            </w:tcMar>
          </w:tcPr>
          <w:p>
            <w:pPr>
              <w:spacing w:before="0" w:after="0" w:line="274" w:lineRule="auto"/>
            </w:pPr>
            <w:r>
              <w:rPr>
                <w:rFonts w:ascii="Inter" w:hAnsi="Inter" w:cs="Inter" w:eastAsia="Inter"/>
                <w:b w:val="0"/>
                <w:i w:val="0"/>
                <w:color w:val="201C15"/>
                <w:sz w:val="15"/>
              </w:rPr>
              <w:t>Rs 6,00,000 for the 90-day engagement</w:t>
            </w:r>
          </w:p>
        </w:tc>
      </w:tr>
    </w:tbl>
    <w:p>
      <w:pPr>
        <w:spacing w:before="0" w:after="50"/>
      </w:pPr>
      <w:r>
        <w:rPr>
          <w:rFonts w:ascii="Inter" w:hAnsi="Inter" w:cs="Inter" w:eastAsia="Inter"/>
          <w:b w:val="0"/>
          <w:i w:val="0"/>
          <w:color w:val="201C15"/>
          <w:sz w:val="2"/>
        </w:rPr>
      </w:r>
    </w:p>
    <w:tbl>
      <w:tblPr>
        <w:tblW w:type="auto" w:w="0"/>
        <w:tblLayout w:type="fixed"/>
        <w:tblLook w:firstColumn="1" w:firstRow="1" w:lastColumn="0" w:lastRow="0" w:noHBand="0" w:noVBand="1" w:val="04A0"/>
        <w:tblLayout w:type="fixed"/>
        <w:tblBorders>
          <w:top w:val="single" w:sz="6" w:space="0" w:color="DDD7C8"/>
          <w:left w:val="none" w:sz="6" w:space="0" w:color="DDD7C8"/>
          <w:bottom w:val="single" w:sz="6" w:space="0" w:color="DDD7C8"/>
          <w:right w:val="none" w:sz="6" w:space="0" w:color="DDD7C8"/>
          <w:insideH w:val="none" w:sz="6" w:space="0" w:color="DDD7C8"/>
          <w:insideV w:val="none" w:sz="6" w:space="0" w:color="DDD7C8"/>
        </w:tblBorders>
      </w:tblPr>
      <w:tblGrid>
        <w:gridCol w:w="9604"/>
      </w:tblGrid>
      <w:tr>
        <w:tc>
          <w:tcPr>
            <w:tcW w:type="dxa" w:w="9605"/>
            <w:shd w:val="clear" w:color="auto" w:fill="FCF8EF"/>
            <w:tcMar>
              <w:top w:w="90" w:type="dxa"/>
              <w:bottom w:w="90" w:type="dxa"/>
              <w:left w:w="130" w:type="dxa"/>
              <w:right w:w="130" w:type="dxa"/>
            </w:tcMar>
          </w:tcPr>
          <w:p>
            <w:pPr>
              <w:spacing w:before="0" w:after="0" w:line="283" w:lineRule="auto"/>
              <w:jc w:val="both"/>
            </w:pPr>
            <w:r>
              <w:rPr>
                <w:rFonts w:ascii="Inter" w:hAnsi="Inter" w:cs="Inter" w:eastAsia="Inter"/>
                <w:b w:val="0"/>
                <w:i/>
                <w:color w:val="4A4233"/>
                <w:sz w:val="15"/>
              </w:rPr>
              <w:t>One fixed monthly fee of Rs 2,00,000, GST as applicable, for the full ninety days. Nothing in the programme is charged per session, per module or per participant.</w:t>
            </w:r>
          </w:p>
        </w:tc>
      </w:tr>
    </w:tbl>
    <w:p>
      <w:pPr>
        <w:spacing w:before="0" w:after="50"/>
      </w:pPr>
      <w:r>
        <w:rPr>
          <w:rFonts w:ascii="Inter" w:hAnsi="Inter" w:cs="Inter" w:eastAsia="Inter"/>
          <w:b w:val="0"/>
          <w:i w:val="0"/>
          <w:color w:val="201C15"/>
          <w:sz w:val="2"/>
        </w:rPr>
      </w:r>
    </w:p>
    <w:p>
      <w:pPr>
        <w:spacing w:before="0" w:after="90" w:line="283" w:lineRule="auto"/>
        <w:jc w:val="both"/>
      </w:pPr>
      <w:r>
        <w:rPr>
          <w:rFonts w:ascii="Inter" w:hAnsi="Inter" w:cs="Inter" w:eastAsia="Inter"/>
          <w:b w:val="0"/>
          <w:i w:val="0"/>
          <w:color w:val="555149"/>
          <w:sz w:val="15"/>
        </w:rPr>
        <w:t>The fee covers the diagnose stage, design and customisation of all twelve modules and the induction programme, facilitation, guides, materials and job aids, assessments, observation, records, monthly reporting and management reviews.</w:t>
      </w:r>
    </w:p>
    <w:p>
      <w:pPr>
        <w:keepNext/>
        <w:spacing w:before="100" w:after="40"/>
      </w:pPr>
      <w:r>
        <w:rPr>
          <w:rFonts w:ascii="Playfair Display" w:hAnsi="Playfair Display" w:cs="Playfair Display" w:eastAsia="Playfair Display"/>
          <w:b/>
          <w:i w:val="0"/>
          <w:color w:val="B08930"/>
          <w:sz w:val="16"/>
        </w:rPr>
        <w:t xml:space="preserve">03   </w:t>
      </w:r>
      <w:r>
        <w:rPr>
          <w:rFonts w:ascii="Inter" w:hAnsi="Inter" w:cs="Inter" w:eastAsia="Inter"/>
          <w:b/>
          <w:i w:val="0"/>
          <w:color w:val="937425"/>
          <w:sz w:val="13"/>
          <w:spacing w:val="42"/>
        </w:rPr>
        <w:t>CURRICULUM</w:t>
      </w:r>
    </w:p>
    <w:p>
      <w:pPr>
        <w:keepNext/>
        <w:spacing w:before="0" w:after="70" w:line="254" w:lineRule="auto"/>
      </w:pPr>
      <w:r>
        <w:rPr>
          <w:rFonts w:ascii="Playfair Display" w:hAnsi="Playfair Display" w:cs="Playfair Display" w:eastAsia="Playfair Display"/>
          <w:b/>
          <w:i w:val="0"/>
          <w:color w:val="201C15"/>
          <w:sz w:val="25"/>
        </w:rPr>
        <w:t>The twelve modules, and why in this order</w:t>
      </w:r>
    </w:p>
    <w:tbl>
      <w:tblPr>
        <w:tblW w:type="auto" w:w="0"/>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4636"/>
        <w:gridCol w:w="720"/>
        <w:gridCol w:w="936"/>
      </w:tblGrid>
      <w:tr>
        <w:tc>
          <w:tcPr>
            <w:tcW w:type="dxa" w:w="3312"/>
            <w:shd w:val="clear" w:color="auto" w:fill="F1EDE2"/>
            <w:tcMar>
              <w:top w:w="42" w:type="dxa"/>
              <w:bottom w:w="42" w:type="dxa"/>
              <w:left w:w="0" w:type="dxa"/>
              <w:right w:w="52" w:type="dxa"/>
            </w:tcMar>
          </w:tcPr>
          <w:p>
            <w:pPr>
              <w:spacing w:before="0" w:after="0" w:line="264" w:lineRule="auto"/>
            </w:pPr>
            <w:r>
              <w:rPr>
                <w:rFonts w:ascii="Inter" w:hAnsi="Inter" w:cs="Inter" w:eastAsia="Inter"/>
                <w:b/>
                <w:i w:val="0"/>
                <w:color w:val="937425"/>
                <w:sz w:val="12"/>
                <w:spacing w:val="24"/>
              </w:rPr>
              <w:t>MODULE</w:t>
            </w:r>
          </w:p>
        </w:tc>
        <w:tc>
          <w:tcPr>
            <w:tcW w:type="dxa" w:w="4637"/>
            <w:shd w:val="clear" w:color="auto" w:fill="F1EDE2"/>
            <w:tcMar>
              <w:top w:w="42" w:type="dxa"/>
              <w:bottom w:w="42" w:type="dxa"/>
              <w:left w:w="52" w:type="dxa"/>
              <w:right w:w="52" w:type="dxa"/>
            </w:tcMar>
          </w:tcPr>
          <w:p>
            <w:pPr>
              <w:spacing w:before="0" w:after="0" w:line="264" w:lineRule="auto"/>
            </w:pPr>
            <w:r>
              <w:rPr>
                <w:rFonts w:ascii="Inter" w:hAnsi="Inter" w:cs="Inter" w:eastAsia="Inter"/>
                <w:b/>
                <w:i w:val="0"/>
                <w:color w:val="937425"/>
                <w:sz w:val="12"/>
                <w:spacing w:val="24"/>
              </w:rPr>
              <w:t>FOCUS</w:t>
            </w:r>
          </w:p>
        </w:tc>
        <w:tc>
          <w:tcPr>
            <w:tcW w:type="dxa" w:w="720"/>
            <w:shd w:val="clear" w:color="auto" w:fill="F1EDE2"/>
            <w:tcMar>
              <w:top w:w="42" w:type="dxa"/>
              <w:bottom w:w="42" w:type="dxa"/>
              <w:left w:w="52" w:type="dxa"/>
              <w:right w:w="52" w:type="dxa"/>
            </w:tcMar>
          </w:tcPr>
          <w:p>
            <w:pPr>
              <w:spacing w:before="0" w:after="0" w:line="264" w:lineRule="auto"/>
              <w:jc w:val="center"/>
            </w:pPr>
            <w:r>
              <w:rPr>
                <w:rFonts w:ascii="Inter" w:hAnsi="Inter" w:cs="Inter" w:eastAsia="Inter"/>
                <w:b/>
                <w:i w:val="0"/>
                <w:color w:val="937425"/>
                <w:sz w:val="12"/>
                <w:spacing w:val="24"/>
              </w:rPr>
              <w:t>WEEKS</w:t>
            </w:r>
          </w:p>
        </w:tc>
        <w:tc>
          <w:tcPr>
            <w:tcW w:type="dxa" w:w="936"/>
            <w:shd w:val="clear" w:color="auto" w:fill="F1EDE2"/>
            <w:tcMar>
              <w:top w:w="42" w:type="dxa"/>
              <w:bottom w:w="42" w:type="dxa"/>
              <w:left w:w="52" w:type="dxa"/>
              <w:right w:w="52" w:type="dxa"/>
            </w:tcMar>
          </w:tcPr>
          <w:p>
            <w:pPr>
              <w:spacing w:before="0" w:after="0" w:line="264" w:lineRule="auto"/>
              <w:jc w:val="center"/>
            </w:pPr>
            <w:r>
              <w:rPr>
                <w:rFonts w:ascii="Inter" w:hAnsi="Inter" w:cs="Inter" w:eastAsia="Inter"/>
                <w:b/>
                <w:i w:val="0"/>
                <w:color w:val="937425"/>
                <w:sz w:val="12"/>
                <w:spacing w:val="24"/>
              </w:rPr>
              <w:t>SESSIONS</w:t>
            </w:r>
          </w:p>
        </w:tc>
      </w:tr>
      <w:tr>
        <w:tc>
          <w:tcPr>
            <w:tcW w:type="dxa" w:w="3312"/>
            <w:tcMar>
              <w:top w:w="34" w:type="dxa"/>
              <w:bottom w:w="34" w:type="dxa"/>
              <w:left w:w="0" w:type="dxa"/>
              <w:right w:w="52" w:type="dxa"/>
            </w:tcMar>
          </w:tcPr>
          <w:p>
            <w:pPr>
              <w:spacing w:before="0" w:after="0" w:line="264" w:lineRule="auto"/>
            </w:pPr>
            <w:r>
              <w:rPr>
                <w:rFonts w:ascii="Inter" w:hAnsi="Inter" w:cs="Inter" w:eastAsia="Inter"/>
                <w:b/>
                <w:i w:val="0"/>
                <w:color w:val="201C15"/>
                <w:sz w:val="15"/>
              </w:rPr>
              <w:t>M1  Foundation &amp; Orientation</w:t>
            </w:r>
          </w:p>
        </w:tc>
        <w:tc>
          <w:tcPr>
            <w:tcW w:type="dxa" w:w="4637"/>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Patient rights, safety protocol, emergency situational awareness</w:t>
            </w:r>
          </w:p>
        </w:tc>
        <w:tc>
          <w:tcPr>
            <w:tcW w:type="dxa" w:w="720"/>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1</w:t>
            </w:r>
          </w:p>
        </w:tc>
        <w:tc>
          <w:tcPr>
            <w:tcW w:type="dxa" w:w="936"/>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3</w:t>
            </w:r>
          </w:p>
        </w:tc>
      </w:tr>
      <w:tr>
        <w:tc>
          <w:tcPr>
            <w:tcW w:type="dxa" w:w="3312"/>
            <w:shd w:val="clear" w:color="auto" w:fill="FCFAF5"/>
            <w:tcMar>
              <w:top w:w="34" w:type="dxa"/>
              <w:bottom w:w="34" w:type="dxa"/>
              <w:left w:w="0" w:type="dxa"/>
              <w:right w:w="52" w:type="dxa"/>
            </w:tcMar>
          </w:tcPr>
          <w:p>
            <w:pPr>
              <w:spacing w:before="0" w:after="0" w:line="264" w:lineRule="auto"/>
            </w:pPr>
            <w:r>
              <w:rPr>
                <w:rFonts w:ascii="Inter" w:hAnsi="Inter" w:cs="Inter" w:eastAsia="Inter"/>
                <w:b/>
                <w:i w:val="0"/>
                <w:color w:val="201C15"/>
                <w:sz w:val="15"/>
              </w:rPr>
              <w:t>M2  Professional Presence</w:t>
            </w:r>
          </w:p>
        </w:tc>
        <w:tc>
          <w:tcPr>
            <w:tcW w:type="dxa" w:w="4637"/>
            <w:shd w:val="clear" w:color="auto" w:fill="FCFAF5"/>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Grooming, bearing, personality and image</w:t>
            </w:r>
          </w:p>
        </w:tc>
        <w:tc>
          <w:tcPr>
            <w:tcW w:type="dxa" w:w="720"/>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2</w:t>
            </w:r>
          </w:p>
        </w:tc>
        <w:tc>
          <w:tcPr>
            <w:tcW w:type="dxa" w:w="936"/>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2</w:t>
            </w:r>
          </w:p>
        </w:tc>
      </w:tr>
      <w:tr>
        <w:tc>
          <w:tcPr>
            <w:tcW w:type="dxa" w:w="3312"/>
            <w:tcMar>
              <w:top w:w="34" w:type="dxa"/>
              <w:bottom w:w="34" w:type="dxa"/>
              <w:left w:w="0" w:type="dxa"/>
              <w:right w:w="52" w:type="dxa"/>
            </w:tcMar>
          </w:tcPr>
          <w:p>
            <w:pPr>
              <w:spacing w:before="0" w:after="0" w:line="264" w:lineRule="auto"/>
            </w:pPr>
            <w:r>
              <w:rPr>
                <w:rFonts w:ascii="Inter" w:hAnsi="Inter" w:cs="Inter" w:eastAsia="Inter"/>
                <w:b/>
                <w:i w:val="0"/>
                <w:color w:val="201C15"/>
                <w:sz w:val="15"/>
              </w:rPr>
              <w:t>M3  Communication Fundamentals</w:t>
            </w:r>
          </w:p>
        </w:tc>
        <w:tc>
          <w:tcPr>
            <w:tcW w:type="dxa" w:w="4637"/>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Non-verbal, active listening, telephone etiquette</w:t>
            </w:r>
          </w:p>
        </w:tc>
        <w:tc>
          <w:tcPr>
            <w:tcW w:type="dxa" w:w="720"/>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2–3</w:t>
            </w:r>
          </w:p>
        </w:tc>
        <w:tc>
          <w:tcPr>
            <w:tcW w:type="dxa" w:w="936"/>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4</w:t>
            </w:r>
          </w:p>
        </w:tc>
      </w:tr>
      <w:tr>
        <w:tc>
          <w:tcPr>
            <w:tcW w:type="dxa" w:w="3312"/>
            <w:shd w:val="clear" w:color="auto" w:fill="FCFAF5"/>
            <w:tcMar>
              <w:top w:w="34" w:type="dxa"/>
              <w:bottom w:w="34" w:type="dxa"/>
              <w:left w:w="0" w:type="dxa"/>
              <w:right w:w="52" w:type="dxa"/>
            </w:tcMar>
          </w:tcPr>
          <w:p>
            <w:pPr>
              <w:spacing w:before="0" w:after="0" w:line="264" w:lineRule="auto"/>
            </w:pPr>
            <w:r>
              <w:rPr>
                <w:rFonts w:ascii="Inter" w:hAnsi="Inter" w:cs="Inter" w:eastAsia="Inter"/>
                <w:b/>
                <w:i w:val="0"/>
                <w:color w:val="201C15"/>
                <w:sz w:val="15"/>
              </w:rPr>
              <w:t>M4  Emotional Intelligence &amp; Empathy</w:t>
            </w:r>
          </w:p>
        </w:tc>
        <w:tc>
          <w:tcPr>
            <w:tcW w:type="dxa" w:w="4637"/>
            <w:shd w:val="clear" w:color="auto" w:fill="FCFAF5"/>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Self-regulation, empathy sessions, dignity and privacy</w:t>
            </w:r>
          </w:p>
        </w:tc>
        <w:tc>
          <w:tcPr>
            <w:tcW w:type="dxa" w:w="720"/>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4</w:t>
            </w:r>
          </w:p>
        </w:tc>
        <w:tc>
          <w:tcPr>
            <w:tcW w:type="dxa" w:w="936"/>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3</w:t>
            </w:r>
          </w:p>
        </w:tc>
      </w:tr>
      <w:tr>
        <w:tc>
          <w:tcPr>
            <w:tcW w:type="dxa" w:w="3312"/>
            <w:tcMar>
              <w:top w:w="34" w:type="dxa"/>
              <w:bottom w:w="34" w:type="dxa"/>
              <w:left w:w="0" w:type="dxa"/>
              <w:right w:w="52" w:type="dxa"/>
            </w:tcMar>
          </w:tcPr>
          <w:p>
            <w:pPr>
              <w:spacing w:before="0" w:after="0" w:line="264" w:lineRule="auto"/>
            </w:pPr>
            <w:r>
              <w:rPr>
                <w:rFonts w:ascii="Inter" w:hAnsi="Inter" w:cs="Inter" w:eastAsia="Inter"/>
                <w:b/>
                <w:i w:val="0"/>
                <w:color w:val="201C15"/>
                <w:sz w:val="15"/>
              </w:rPr>
              <w:t>M5  Patient Experience &amp; Standards</w:t>
            </w:r>
          </w:p>
        </w:tc>
        <w:tc>
          <w:tcPr>
            <w:tcW w:type="dxa" w:w="4637"/>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First impressions, proactive service, service excellence</w:t>
            </w:r>
          </w:p>
        </w:tc>
        <w:tc>
          <w:tcPr>
            <w:tcW w:type="dxa" w:w="720"/>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5–6</w:t>
            </w:r>
          </w:p>
        </w:tc>
        <w:tc>
          <w:tcPr>
            <w:tcW w:type="dxa" w:w="936"/>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4</w:t>
            </w:r>
          </w:p>
        </w:tc>
      </w:tr>
      <w:tr>
        <w:tc>
          <w:tcPr>
            <w:tcW w:type="dxa" w:w="3312"/>
            <w:shd w:val="clear" w:color="auto" w:fill="FCFAF5"/>
            <w:tcMar>
              <w:top w:w="34" w:type="dxa"/>
              <w:bottom w:w="34" w:type="dxa"/>
              <w:left w:w="0" w:type="dxa"/>
              <w:right w:w="52" w:type="dxa"/>
            </w:tcMar>
          </w:tcPr>
          <w:p>
            <w:pPr>
              <w:spacing w:before="0" w:after="0" w:line="264" w:lineRule="auto"/>
            </w:pPr>
            <w:r>
              <w:rPr>
                <w:rFonts w:ascii="Inter" w:hAnsi="Inter" w:cs="Inter" w:eastAsia="Inter"/>
                <w:b/>
                <w:i w:val="0"/>
                <w:color w:val="201C15"/>
                <w:sz w:val="15"/>
              </w:rPr>
              <w:t>M6  The Patient Journey</w:t>
            </w:r>
          </w:p>
        </w:tc>
        <w:tc>
          <w:tcPr>
            <w:tcW w:type="dxa" w:w="4637"/>
            <w:shd w:val="clear" w:color="auto" w:fill="FCFAF5"/>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Enquiry to discharge, touchpoint by touchpoint, by role</w:t>
            </w:r>
          </w:p>
        </w:tc>
        <w:tc>
          <w:tcPr>
            <w:tcW w:type="dxa" w:w="720"/>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6–7</w:t>
            </w:r>
          </w:p>
        </w:tc>
        <w:tc>
          <w:tcPr>
            <w:tcW w:type="dxa" w:w="936"/>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4</w:t>
            </w:r>
          </w:p>
        </w:tc>
      </w:tr>
      <w:tr>
        <w:tc>
          <w:tcPr>
            <w:tcW w:type="dxa" w:w="3312"/>
            <w:tcMar>
              <w:top w:w="34" w:type="dxa"/>
              <w:bottom w:w="34" w:type="dxa"/>
              <w:left w:w="0" w:type="dxa"/>
              <w:right w:w="52" w:type="dxa"/>
            </w:tcMar>
          </w:tcPr>
          <w:p>
            <w:pPr>
              <w:spacing w:before="0" w:after="0" w:line="264" w:lineRule="auto"/>
            </w:pPr>
            <w:r>
              <w:rPr>
                <w:rFonts w:ascii="Inter" w:hAnsi="Inter" w:cs="Inter" w:eastAsia="Inter"/>
                <w:b/>
                <w:i w:val="0"/>
                <w:color w:val="201C15"/>
                <w:sz w:val="15"/>
              </w:rPr>
              <w:t>M7  Difficult Situations &amp; Recovery</w:t>
            </w:r>
          </w:p>
        </w:tc>
        <w:tc>
          <w:tcPr>
            <w:tcW w:type="dxa" w:w="4637"/>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Complaints, service recovery, conflict, crisis management</w:t>
            </w:r>
          </w:p>
        </w:tc>
        <w:tc>
          <w:tcPr>
            <w:tcW w:type="dxa" w:w="720"/>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7–9</w:t>
            </w:r>
          </w:p>
        </w:tc>
        <w:tc>
          <w:tcPr>
            <w:tcW w:type="dxa" w:w="936"/>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5</w:t>
            </w:r>
          </w:p>
        </w:tc>
      </w:tr>
      <w:tr>
        <w:tc>
          <w:tcPr>
            <w:tcW w:type="dxa" w:w="3312"/>
            <w:shd w:val="clear" w:color="auto" w:fill="FCFAF5"/>
            <w:tcMar>
              <w:top w:w="34" w:type="dxa"/>
              <w:bottom w:w="34" w:type="dxa"/>
              <w:left w:w="0" w:type="dxa"/>
              <w:right w:w="52" w:type="dxa"/>
            </w:tcMar>
          </w:tcPr>
          <w:p>
            <w:pPr>
              <w:spacing w:before="0" w:after="0" w:line="264" w:lineRule="auto"/>
            </w:pPr>
            <w:r>
              <w:rPr>
                <w:rFonts w:ascii="Inter" w:hAnsi="Inter" w:cs="Inter" w:eastAsia="Inter"/>
                <w:b/>
                <w:i w:val="0"/>
                <w:color w:val="201C15"/>
                <w:sz w:val="15"/>
              </w:rPr>
              <w:t>M8  Personal Effectiveness &amp; Resilience</w:t>
            </w:r>
          </w:p>
        </w:tc>
        <w:tc>
          <w:tcPr>
            <w:tcW w:type="dxa" w:w="4637"/>
            <w:shd w:val="clear" w:color="auto" w:fill="FCFAF5"/>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Stress management, self-motivation, self-efficacy</w:t>
            </w:r>
          </w:p>
        </w:tc>
        <w:tc>
          <w:tcPr>
            <w:tcW w:type="dxa" w:w="720"/>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9</w:t>
            </w:r>
          </w:p>
        </w:tc>
        <w:tc>
          <w:tcPr>
            <w:tcW w:type="dxa" w:w="936"/>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2</w:t>
            </w:r>
          </w:p>
        </w:tc>
      </w:tr>
      <w:tr>
        <w:tc>
          <w:tcPr>
            <w:tcW w:type="dxa" w:w="3312"/>
            <w:tcMar>
              <w:top w:w="34" w:type="dxa"/>
              <w:bottom w:w="34" w:type="dxa"/>
              <w:left w:w="0" w:type="dxa"/>
              <w:right w:w="52" w:type="dxa"/>
            </w:tcMar>
          </w:tcPr>
          <w:p>
            <w:pPr>
              <w:spacing w:before="0" w:after="0" w:line="264" w:lineRule="auto"/>
            </w:pPr>
            <w:r>
              <w:rPr>
                <w:rFonts w:ascii="Inter" w:hAnsi="Inter" w:cs="Inter" w:eastAsia="Inter"/>
                <w:b/>
                <w:i w:val="0"/>
                <w:color w:val="201C15"/>
                <w:sz w:val="15"/>
              </w:rPr>
              <w:t>M9  Teamwork &amp; Coordination</w:t>
            </w:r>
          </w:p>
        </w:tc>
        <w:tc>
          <w:tcPr>
            <w:tcW w:type="dxa" w:w="4637"/>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Handovers, interdepartmental coordination, escalation</w:t>
            </w:r>
          </w:p>
        </w:tc>
        <w:tc>
          <w:tcPr>
            <w:tcW w:type="dxa" w:w="720"/>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10</w:t>
            </w:r>
          </w:p>
        </w:tc>
        <w:tc>
          <w:tcPr>
            <w:tcW w:type="dxa" w:w="936"/>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3</w:t>
            </w:r>
          </w:p>
        </w:tc>
      </w:tr>
      <w:tr>
        <w:tc>
          <w:tcPr>
            <w:tcW w:type="dxa" w:w="3312"/>
            <w:shd w:val="clear" w:color="auto" w:fill="FCFAF5"/>
            <w:tcMar>
              <w:top w:w="34" w:type="dxa"/>
              <w:bottom w:w="34" w:type="dxa"/>
              <w:left w:w="0" w:type="dxa"/>
              <w:right w:w="52" w:type="dxa"/>
            </w:tcMar>
          </w:tcPr>
          <w:p>
            <w:pPr>
              <w:spacing w:before="0" w:after="0" w:line="264" w:lineRule="auto"/>
            </w:pPr>
            <w:r>
              <w:rPr>
                <w:rFonts w:ascii="Inter" w:hAnsi="Inter" w:cs="Inter" w:eastAsia="Inter"/>
                <w:b/>
                <w:i w:val="0"/>
                <w:color w:val="201C15"/>
                <w:sz w:val="15"/>
              </w:rPr>
              <w:t>M10  Leadership &amp; Supervisory</w:t>
            </w:r>
          </w:p>
        </w:tc>
        <w:tc>
          <w:tcPr>
            <w:tcW w:type="dxa" w:w="4637"/>
            <w:shd w:val="clear" w:color="auto" w:fill="FCFAF5"/>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Huddles, coaching, feedback, conflict resolution</w:t>
            </w:r>
          </w:p>
        </w:tc>
        <w:tc>
          <w:tcPr>
            <w:tcW w:type="dxa" w:w="720"/>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11–12</w:t>
            </w:r>
          </w:p>
        </w:tc>
        <w:tc>
          <w:tcPr>
            <w:tcW w:type="dxa" w:w="936"/>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4</w:t>
            </w:r>
          </w:p>
        </w:tc>
      </w:tr>
      <w:tr>
        <w:tc>
          <w:tcPr>
            <w:tcW w:type="dxa" w:w="3312"/>
            <w:tcMar>
              <w:top w:w="34" w:type="dxa"/>
              <w:bottom w:w="34" w:type="dxa"/>
              <w:left w:w="0" w:type="dxa"/>
              <w:right w:w="52" w:type="dxa"/>
            </w:tcMar>
          </w:tcPr>
          <w:p>
            <w:pPr>
              <w:spacing w:before="0" w:after="0" w:line="264" w:lineRule="auto"/>
            </w:pPr>
            <w:r>
              <w:rPr>
                <w:rFonts w:ascii="Inter" w:hAnsi="Inter" w:cs="Inter" w:eastAsia="Inter"/>
                <w:b/>
                <w:i w:val="0"/>
                <w:color w:val="201C15"/>
                <w:sz w:val="15"/>
              </w:rPr>
              <w:t>M11  Train-the-Trainer</w:t>
            </w:r>
          </w:p>
        </w:tc>
        <w:tc>
          <w:tcPr>
            <w:tcW w:type="dxa" w:w="4637"/>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Adult learning, facilitation, assessment, reinforcement</w:t>
            </w:r>
          </w:p>
        </w:tc>
        <w:tc>
          <w:tcPr>
            <w:tcW w:type="dxa" w:w="720"/>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12–13</w:t>
            </w:r>
          </w:p>
        </w:tc>
        <w:tc>
          <w:tcPr>
            <w:tcW w:type="dxa" w:w="936"/>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3</w:t>
            </w:r>
          </w:p>
        </w:tc>
      </w:tr>
      <w:tr>
        <w:tc>
          <w:tcPr>
            <w:tcW w:type="dxa" w:w="3312"/>
            <w:shd w:val="clear" w:color="auto" w:fill="FCFAF5"/>
            <w:tcMar>
              <w:top w:w="34" w:type="dxa"/>
              <w:bottom w:w="34" w:type="dxa"/>
              <w:left w:w="0" w:type="dxa"/>
              <w:right w:w="52" w:type="dxa"/>
            </w:tcMar>
          </w:tcPr>
          <w:p>
            <w:pPr>
              <w:spacing w:before="0" w:after="0" w:line="264" w:lineRule="auto"/>
            </w:pPr>
            <w:r>
              <w:rPr>
                <w:rFonts w:ascii="Inter" w:hAnsi="Inter" w:cs="Inter" w:eastAsia="Inter"/>
                <w:b/>
                <w:i w:val="0"/>
                <w:color w:val="201C15"/>
                <w:sz w:val="15"/>
              </w:rPr>
              <w:t>M12  Consolidation &amp; Review</w:t>
            </w:r>
          </w:p>
        </w:tc>
        <w:tc>
          <w:tcPr>
            <w:tcW w:type="dxa" w:w="4637"/>
            <w:shd w:val="clear" w:color="auto" w:fill="FCFAF5"/>
            <w:tcMar>
              <w:top w:w="34" w:type="dxa"/>
              <w:bottom w:w="34" w:type="dxa"/>
              <w:left w:w="52" w:type="dxa"/>
              <w:right w:w="52" w:type="dxa"/>
            </w:tcMar>
          </w:tcPr>
          <w:p>
            <w:pPr>
              <w:spacing w:before="0" w:after="0" w:line="264" w:lineRule="auto"/>
            </w:pPr>
            <w:r>
              <w:rPr>
                <w:rFonts w:ascii="Inter" w:hAnsi="Inter" w:cs="Inter" w:eastAsia="Inter"/>
                <w:b w:val="0"/>
                <w:i w:val="0"/>
                <w:color w:val="555149"/>
                <w:sz w:val="14"/>
              </w:rPr>
              <w:t>Post-assessment, dashboard, management review</w:t>
            </w:r>
          </w:p>
        </w:tc>
        <w:tc>
          <w:tcPr>
            <w:tcW w:type="dxa" w:w="720"/>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4A4233"/>
                <w:sz w:val="15"/>
              </w:rPr>
              <w:t>13</w:t>
            </w:r>
          </w:p>
        </w:tc>
        <w:tc>
          <w:tcPr>
            <w:tcW w:type="dxa" w:w="936"/>
            <w:shd w:val="clear" w:color="auto" w:fill="FCFAF5"/>
            <w:tcMar>
              <w:top w:w="34" w:type="dxa"/>
              <w:bottom w:w="34" w:type="dxa"/>
              <w:left w:w="52" w:type="dxa"/>
              <w:right w:w="52" w:type="dxa"/>
            </w:tcMar>
          </w:tcPr>
          <w:p>
            <w:pPr>
              <w:spacing w:before="0" w:after="0" w:line="264" w:lineRule="auto"/>
              <w:jc w:val="center"/>
            </w:pPr>
            <w:r>
              <w:rPr>
                <w:rFonts w:ascii="Inter" w:hAnsi="Inter" w:cs="Inter" w:eastAsia="Inter"/>
                <w:b w:val="0"/>
                <w:i w:val="0"/>
                <w:color w:val="555149"/>
                <w:sz w:val="15"/>
              </w:rPr>
              <w:t>2</w:t>
            </w:r>
          </w:p>
        </w:tc>
      </w:tr>
      <w:tr>
        <w:tc>
          <w:tcPr>
            <w:tcW w:type="dxa" w:w="3312"/>
            <w:shd w:val="clear" w:color="auto" w:fill="F1EDE2"/>
            <w:tcMar>
              <w:top w:w="34" w:type="dxa"/>
              <w:bottom w:w="34" w:type="dxa"/>
              <w:left w:w="0" w:type="dxa"/>
              <w:right w:w="52" w:type="dxa"/>
            </w:tcMar>
          </w:tcPr>
          <w:p>
            <w:pPr>
              <w:spacing w:before="0" w:after="0" w:line="264" w:lineRule="auto"/>
            </w:pPr>
            <w:r>
              <w:rPr>
                <w:rFonts w:ascii="Inter" w:hAnsi="Inter" w:cs="Inter" w:eastAsia="Inter"/>
                <w:b/>
                <w:i w:val="0"/>
                <w:color w:val="201C15"/>
                <w:sz w:val="15"/>
              </w:rPr>
              <w:t>Total</w:t>
            </w:r>
          </w:p>
        </w:tc>
        <w:tc>
          <w:tcPr>
            <w:tcW w:type="dxa" w:w="4637"/>
            <w:shd w:val="clear" w:color="auto" w:fill="F1EDE2"/>
            <w:tcMar>
              <w:top w:w="34" w:type="dxa"/>
              <w:bottom w:w="34" w:type="dxa"/>
              <w:left w:w="52" w:type="dxa"/>
              <w:right w:w="52" w:type="dxa"/>
            </w:tcMar>
          </w:tcPr>
          <w:p>
            <w:pPr>
              <w:spacing w:before="0" w:after="0" w:line="264" w:lineRule="auto"/>
            </w:pPr>
            <w:r>
              <w:rPr>
                <w:rFonts w:ascii="Inter" w:hAnsi="Inter" w:cs="Inter" w:eastAsia="Inter"/>
                <w:b/>
                <w:i w:val="0"/>
                <w:color w:val="201C15"/>
                <w:sz w:val="14"/>
              </w:rPr>
              <w:t>13 weeks, 3 sessions per week</w:t>
            </w:r>
          </w:p>
        </w:tc>
        <w:tc>
          <w:tcPr>
            <w:tcW w:type="dxa" w:w="720"/>
            <w:shd w:val="clear" w:color="auto" w:fill="F1EDE2"/>
            <w:tcMar>
              <w:top w:w="34" w:type="dxa"/>
              <w:bottom w:w="34" w:type="dxa"/>
              <w:left w:w="52" w:type="dxa"/>
              <w:right w:w="52" w:type="dxa"/>
            </w:tcMar>
          </w:tcPr>
          <w:p>
            <w:pPr>
              <w:spacing w:before="0" w:after="0" w:line="264" w:lineRule="auto"/>
              <w:jc w:val="center"/>
            </w:pPr>
            <w:r>
              <w:rPr>
                <w:rFonts w:ascii="Inter" w:hAnsi="Inter" w:cs="Inter" w:eastAsia="Inter"/>
                <w:b/>
                <w:i w:val="0"/>
                <w:color w:val="201C15"/>
                <w:sz w:val="15"/>
              </w:rPr>
              <w:t>1–13</w:t>
            </w:r>
          </w:p>
        </w:tc>
        <w:tc>
          <w:tcPr>
            <w:tcW w:type="dxa" w:w="936"/>
            <w:shd w:val="clear" w:color="auto" w:fill="F1EDE2"/>
            <w:tcMar>
              <w:top w:w="34" w:type="dxa"/>
              <w:bottom w:w="34" w:type="dxa"/>
              <w:left w:w="52" w:type="dxa"/>
              <w:right w:w="52" w:type="dxa"/>
            </w:tcMar>
          </w:tcPr>
          <w:p>
            <w:pPr>
              <w:spacing w:before="0" w:after="0" w:line="264" w:lineRule="auto"/>
              <w:jc w:val="center"/>
            </w:pPr>
            <w:r>
              <w:rPr>
                <w:rFonts w:ascii="Inter" w:hAnsi="Inter" w:cs="Inter" w:eastAsia="Inter"/>
                <w:b/>
                <w:i w:val="0"/>
                <w:color w:val="201C15"/>
                <w:sz w:val="15"/>
              </w:rPr>
              <w:t>39</w:t>
            </w:r>
          </w:p>
        </w:tc>
      </w:tr>
    </w:tbl>
    <w:p>
      <w:pPr>
        <w:spacing w:before="0" w:after="50"/>
      </w:pPr>
      <w:r>
        <w:rPr>
          <w:rFonts w:ascii="Inter" w:hAnsi="Inter" w:cs="Inter" w:eastAsia="Inter"/>
          <w:b w:val="0"/>
          <w:i w:val="0"/>
          <w:color w:val="201C15"/>
          <w:sz w:val="2"/>
        </w:rPr>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Professional presence early:</w:t>
      </w:r>
      <w:r>
        <w:rPr>
          <w:rFonts w:ascii="Inter" w:hAnsi="Inter" w:cs="Inter" w:eastAsia="Inter"/>
          <w:b w:val="0"/>
          <w:i w:val="0"/>
          <w:color w:val="555149"/>
          <w:sz w:val="14"/>
        </w:rPr>
        <w:t xml:space="preserve"> the patient judges before a word is spoken.</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Difficult situations late, resilience after:</w:t>
      </w:r>
      <w:r>
        <w:rPr>
          <w:rFonts w:ascii="Inter" w:hAnsi="Inter" w:cs="Inter" w:eastAsia="Inter"/>
          <w:b w:val="0"/>
          <w:i w:val="0"/>
          <w:color w:val="555149"/>
          <w:sz w:val="14"/>
        </w:rPr>
        <w:t xml:space="preserve"> de-escalation needs listening and regulation already in place.</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Supervisors after their teams:</w:t>
      </w:r>
      <w:r>
        <w:rPr>
          <w:rFonts w:ascii="Inter" w:hAnsi="Inter" w:cs="Inter" w:eastAsia="Inter"/>
          <w:b w:val="0"/>
          <w:i w:val="0"/>
          <w:color w:val="555149"/>
          <w:sz w:val="14"/>
        </w:rPr>
        <w:t xml:space="preserve"> staff returning to untrained supervisors regress.</w:t>
      </w:r>
    </w:p>
    <w:p>
      <w:pPr>
        <w:keepNext/>
        <w:spacing w:before="100" w:after="40"/>
      </w:pPr>
      <w:r>
        <w:rPr>
          <w:rFonts w:ascii="Playfair Display" w:hAnsi="Playfair Display" w:cs="Playfair Display" w:eastAsia="Playfair Display"/>
          <w:b/>
          <w:i w:val="0"/>
          <w:color w:val="B08930"/>
          <w:sz w:val="16"/>
        </w:rPr>
        <w:t xml:space="preserve">04   </w:t>
      </w:r>
      <w:r>
        <w:rPr>
          <w:rFonts w:ascii="Inter" w:hAnsi="Inter" w:cs="Inter" w:eastAsia="Inter"/>
          <w:b/>
          <w:i w:val="0"/>
          <w:color w:val="937425"/>
          <w:sz w:val="13"/>
          <w:spacing w:val="42"/>
        </w:rPr>
        <w:t>OUTCOMES BY ROLE</w:t>
      </w:r>
    </w:p>
    <w:p>
      <w:pPr>
        <w:keepNext/>
        <w:spacing w:before="0" w:after="70" w:line="254" w:lineRule="auto"/>
      </w:pPr>
      <w:r>
        <w:rPr>
          <w:rFonts w:ascii="Playfair Display" w:hAnsi="Playfair Display" w:cs="Playfair Display" w:eastAsia="Playfair Display"/>
          <w:b/>
          <w:i w:val="0"/>
          <w:color w:val="201C15"/>
          <w:sz w:val="25"/>
        </w:rPr>
        <w:t>What each group takes away</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Front office and reception:</w:t>
      </w:r>
      <w:r>
        <w:rPr>
          <w:rFonts w:ascii="Inter" w:hAnsi="Inter" w:cs="Inter" w:eastAsia="Inter"/>
          <w:b w:val="0"/>
          <w:i w:val="0"/>
          <w:color w:val="555149"/>
          <w:sz w:val="14"/>
        </w:rPr>
        <w:t xml:space="preserve"> first-impression protocol, telephone discipline, waiting-time communication</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Patient relations:</w:t>
      </w:r>
      <w:r>
        <w:rPr>
          <w:rFonts w:ascii="Inter" w:hAnsi="Inter" w:cs="Inter" w:eastAsia="Inter"/>
          <w:b w:val="0"/>
          <w:i w:val="0"/>
          <w:color w:val="555149"/>
          <w:sz w:val="14"/>
        </w:rPr>
        <w:t xml:space="preserve"> empathy-led enquiry, complaint intake, service recovery, closing the loop</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Billing and administration:</w:t>
      </w:r>
      <w:r>
        <w:rPr>
          <w:rFonts w:ascii="Inter" w:hAnsi="Inter" w:cs="Inter" w:eastAsia="Inter"/>
          <w:b w:val="0"/>
          <w:i w:val="0"/>
          <w:color w:val="555149"/>
          <w:sz w:val="14"/>
        </w:rPr>
        <w:t xml:space="preserve"> explaining estimates without jargon, financial conversations, dispute de-escalation</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Nursing and clinical support:</w:t>
      </w:r>
      <w:r>
        <w:rPr>
          <w:rFonts w:ascii="Inter" w:hAnsi="Inter" w:cs="Inter" w:eastAsia="Inter"/>
          <w:b w:val="0"/>
          <w:i w:val="0"/>
          <w:color w:val="555149"/>
          <w:sz w:val="14"/>
        </w:rPr>
        <w:t xml:space="preserve"> bedside courtesy, dignity and privacy, handovers, compassion fatigue</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Housekeeping and facility:</w:t>
      </w:r>
      <w:r>
        <w:rPr>
          <w:rFonts w:ascii="Inter" w:hAnsi="Inter" w:cs="Inter" w:eastAsia="Inter"/>
          <w:b w:val="0"/>
          <w:i w:val="0"/>
          <w:color w:val="555149"/>
          <w:sz w:val="14"/>
        </w:rPr>
        <w:t xml:space="preserve"> conduct in patient areas, permission before entering, discretion, escalation</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Security:</w:t>
      </w:r>
      <w:r>
        <w:rPr>
          <w:rFonts w:ascii="Inter" w:hAnsi="Inter" w:cs="Inter" w:eastAsia="Inter"/>
          <w:b w:val="0"/>
          <w:i w:val="0"/>
          <w:color w:val="555149"/>
          <w:sz w:val="14"/>
        </w:rPr>
        <w:t xml:space="preserve"> firm but courteous authority, visitor control, de-escalating grief and agitation</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Supervisors and department heads:</w:t>
      </w:r>
      <w:r>
        <w:rPr>
          <w:rFonts w:ascii="Inter" w:hAnsi="Inter" w:cs="Inter" w:eastAsia="Inter"/>
          <w:b w:val="0"/>
          <w:i w:val="0"/>
          <w:color w:val="555149"/>
          <w:sz w:val="14"/>
        </w:rPr>
        <w:t xml:space="preserve"> huddles, on-floor observation and coaching, feedback, underperformance</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Managers and leadership:</w:t>
      </w:r>
      <w:r>
        <w:rPr>
          <w:rFonts w:ascii="Inter" w:hAnsi="Inter" w:cs="Inter" w:eastAsia="Inter"/>
          <w:b w:val="0"/>
          <w:i w:val="0"/>
          <w:color w:val="555149"/>
          <w:sz w:val="14"/>
        </w:rPr>
        <w:t xml:space="preserve"> reading the dashboard, linking complaints to capability gaps, governing the calendar</w:t>
      </w:r>
    </w:p>
    <w:p>
      <w:pPr>
        <w:keepNext/>
        <w:spacing w:before="100" w:after="40"/>
      </w:pPr>
      <w:r>
        <w:rPr>
          <w:rFonts w:ascii="Playfair Display" w:hAnsi="Playfair Display" w:cs="Playfair Display" w:eastAsia="Playfair Display"/>
          <w:b/>
          <w:i w:val="0"/>
          <w:color w:val="B08930"/>
          <w:sz w:val="16"/>
        </w:rPr>
        <w:t xml:space="preserve">05   </w:t>
      </w:r>
      <w:r>
        <w:rPr>
          <w:rFonts w:ascii="Inter" w:hAnsi="Inter" w:cs="Inter" w:eastAsia="Inter"/>
          <w:b/>
          <w:i w:val="0"/>
          <w:color w:val="937425"/>
          <w:sz w:val="13"/>
          <w:spacing w:val="42"/>
        </w:rPr>
        <w:t>APPROACH AND DELIVERY</w:t>
      </w:r>
    </w:p>
    <w:p>
      <w:pPr>
        <w:keepNext/>
        <w:spacing w:before="0" w:after="70" w:line="254" w:lineRule="auto"/>
      </w:pPr>
      <w:r>
        <w:rPr>
          <w:rFonts w:ascii="Playfair Display" w:hAnsi="Playfair Display" w:cs="Playfair Display" w:eastAsia="Playfair Display"/>
          <w:b/>
          <w:i w:val="0"/>
          <w:color w:val="201C15"/>
          <w:sz w:val="25"/>
        </w:rPr>
        <w:t>How it runs, and what the hospital receives</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DIAGNOSE:</w:t>
      </w:r>
      <w:r>
        <w:rPr>
          <w:rFonts w:ascii="Inter" w:hAnsi="Inter" w:cs="Inter" w:eastAsia="Inter"/>
          <w:b w:val="0"/>
          <w:i w:val="0"/>
          <w:color w:val="555149"/>
          <w:sz w:val="14"/>
        </w:rPr>
        <w:t xml:space="preserve"> Management discussions, departmental inputs, employee observation, and review of anonymised feedback and complaints.</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DESIGN:</w:t>
      </w:r>
      <w:r>
        <w:rPr>
          <w:rFonts w:ascii="Inter" w:hAnsi="Inter" w:cs="Inter" w:eastAsia="Inter"/>
          <w:b w:val="0"/>
          <w:i w:val="0"/>
          <w:color w:val="555149"/>
          <w:sz w:val="14"/>
        </w:rPr>
        <w:t xml:space="preserve"> Every module customised against the hospital's own policies, SOPs and service standards. Induction is built here.</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DELIVER:</w:t>
      </w:r>
      <w:r>
        <w:rPr>
          <w:rFonts w:ascii="Inter" w:hAnsi="Inter" w:cs="Inter" w:eastAsia="Inter"/>
          <w:b w:val="0"/>
          <w:i w:val="0"/>
          <w:color w:val="555149"/>
          <w:sz w:val="14"/>
        </w:rPr>
        <w:t xml:space="preserve"> Facilitated four-hour sessions: concept, demonstration, practice and feedback, three days a week.</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REINFORCE:</w:t>
      </w:r>
      <w:r>
        <w:rPr>
          <w:rFonts w:ascii="Inter" w:hAnsi="Inter" w:cs="Inter" w:eastAsia="Inter"/>
          <w:b w:val="0"/>
          <w:i w:val="0"/>
          <w:color w:val="555149"/>
          <w:sz w:val="14"/>
        </w:rPr>
        <w:t xml:space="preserve"> Job aids carried to the point of work, supervisor coaching, and short observation visits during live shifts.</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i w:val="0"/>
          <w:color w:val="201C15"/>
          <w:sz w:val="14"/>
        </w:rPr>
        <w:t>MEASURE:</w:t>
      </w:r>
      <w:r>
        <w:rPr>
          <w:rFonts w:ascii="Inter" w:hAnsi="Inter" w:cs="Inter" w:eastAsia="Inter"/>
          <w:b w:val="0"/>
          <w:i w:val="0"/>
          <w:color w:val="555149"/>
          <w:sz w:val="14"/>
        </w:rPr>
        <w:t xml:space="preserve"> Assessment before and after, on-the-job observation, and monthly reporting to management.</w:t>
      </w:r>
    </w:p>
    <w:p>
      <w:pPr>
        <w:spacing w:before="0" w:after="80" w:line="283" w:lineRule="auto"/>
        <w:jc w:val="both"/>
      </w:pPr>
      <w:r>
        <w:rPr>
          <w:rFonts w:ascii="Inter" w:hAnsi="Inter" w:cs="Inter" w:eastAsia="Inter"/>
          <w:b w:val="0"/>
          <w:i w:val="0"/>
          <w:color w:val="555149"/>
          <w:sz w:val="15"/>
        </w:rPr>
        <w:t>All training is built on the narrative of real experience and real incidents: hospital-based case studies, incident reports, patient-interaction simulations, role plays, scenario discussions and coaching, with assessment before and after. Of each four-hour session, 105 minutes are structured practice and a further 25 minutes participant case work.</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Training Needs Analysis report by end of Week 2, competency and skill-gap framework in Week 3, and a training calendar the hospital can extend quarterly</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The induction programme and all twelve customised modules, with facilitator guides, participant materials and role-specific job aids</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Assessment and observation instruments in use from Week 1, consolidated in Week 3</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Attendance records, feedback analysis, monthly training reports, and corrective plans where a standard is not holding</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Management review presentations and a training effectiveness dashboard</w:t>
      </w:r>
    </w:p>
    <w:p>
      <w:pPr>
        <w:spacing w:before="0" w:after="80" w:line="283" w:lineRule="auto"/>
        <w:jc w:val="both"/>
      </w:pPr>
      <w:r>
        <w:rPr>
          <w:rFonts w:ascii="Inter" w:hAnsi="Inter" w:cs="Inter" w:eastAsia="Inter"/>
          <w:b w:val="0"/>
          <w:i w:val="0"/>
          <w:color w:val="555149"/>
          <w:sz w:val="14"/>
        </w:rPr>
        <w:t>Effectiveness is reported at four levels: participation and reaction; knowledge gain through assessment before and after; behavioural change through on-the-job observation against the checklists supervisors use; and organisational indicators, which depend on hospital-held complaint and feedback data and are therefore reported as movement rather than guaranteed.</w:t>
      </w:r>
    </w:p>
    <w:p>
      <w:pPr>
        <w:keepNext/>
        <w:spacing w:before="100" w:after="40"/>
      </w:pPr>
      <w:r>
        <w:rPr>
          <w:rFonts w:ascii="Playfair Display" w:hAnsi="Playfair Display" w:cs="Playfair Display" w:eastAsia="Playfair Display"/>
          <w:b/>
          <w:i w:val="0"/>
          <w:color w:val="B08930"/>
          <w:sz w:val="16"/>
        </w:rPr>
        <w:t xml:space="preserve">06   </w:t>
      </w:r>
      <w:r>
        <w:rPr>
          <w:rFonts w:ascii="Inter" w:hAnsi="Inter" w:cs="Inter" w:eastAsia="Inter"/>
          <w:b/>
          <w:i w:val="0"/>
          <w:color w:val="937425"/>
          <w:sz w:val="13"/>
          <w:spacing w:val="42"/>
        </w:rPr>
        <w:t>WHAT WE NEED, AND IN CLOSING</w:t>
      </w:r>
    </w:p>
    <w:p>
      <w:pPr>
        <w:keepNext/>
        <w:spacing w:before="0" w:after="70" w:line="254" w:lineRule="auto"/>
      </w:pPr>
      <w:r>
        <w:rPr>
          <w:rFonts w:ascii="Playfair Display" w:hAnsi="Playfair Display" w:cs="Playfair Display" w:eastAsia="Playfair Display"/>
          <w:b/>
          <w:i w:val="0"/>
          <w:color w:val="201C15"/>
          <w:sz w:val="25"/>
        </w:rPr>
        <w:t>Developing people who care for people</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A single point of contact from HR or L&amp;D, and confirmed batch nominations ahead of each module block</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Participants released for the full four hours, and a training room with projection for up to 30</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Access to anonymised patient-feedback and complaint themes for case studies, and permission for on-the-job observation</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Nominated subject-matter experts for clinical, statutory and policy content, plus the hospital's own SOPs and service standards</w:t>
      </w:r>
    </w:p>
    <w:p>
      <w:pPr>
        <w:tabs>
          <w:tab w:pos="374" w:val="left"/>
        </w:tabs>
        <w:spacing w:before="0" w:after="44" w:line="283" w:lineRule="auto"/>
        <w:ind w:left="374" w:hanging="374"/>
      </w:pPr>
      <w:r>
        <w:rPr>
          <w:rFonts w:ascii="Inter" w:hAnsi="Inter" w:cs="Inter" w:eastAsia="Inter"/>
          <w:b/>
          <w:i w:val="0"/>
          <w:color w:val="B08930"/>
          <w:sz w:val="14"/>
        </w:rPr>
        <w:t>–</w:t>
      </w:r>
      <w:r>
        <w:rPr>
          <w:rFonts w:ascii="Inter" w:hAnsi="Inter" w:cs="Inter" w:eastAsia="Inter"/>
          <w:b w:val="0"/>
          <w:i w:val="0"/>
          <w:color w:val="555149"/>
          <w:sz w:val="14"/>
        </w:rPr>
        <w:tab/>
      </w:r>
      <w:r>
        <w:rPr>
          <w:rFonts w:ascii="Inter" w:hAnsi="Inter" w:cs="Inter" w:eastAsia="Inter"/>
          <w:b w:val="0"/>
          <w:i w:val="0"/>
          <w:color w:val="555149"/>
          <w:sz w:val="14"/>
        </w:rPr>
        <w:t>The legal entity name and billing details for invoicing</w:t>
      </w:r>
    </w:p>
    <w:p>
      <w:pPr>
        <w:spacing w:before="0" w:after="80" w:line="283" w:lineRule="auto"/>
        <w:jc w:val="both"/>
      </w:pPr>
      <w:r>
        <w:rPr>
          <w:rFonts w:ascii="Inter" w:hAnsi="Inter" w:cs="Inter" w:eastAsia="Inter"/>
          <w:b w:val="0"/>
          <w:i w:val="0"/>
          <w:color w:val="555149"/>
          <w:sz w:val="14"/>
        </w:rPr>
        <w:t>Invoices are raised monthly in arrears. GST as applicable. The calendar is confirmed jointly before commencement, and sessions missed for hospital reasons are rescheduled within the engagement window where possible. Hospital data is treated as confidential.</w:t>
      </w:r>
    </w:p>
    <w:p>
      <w:pPr>
        <w:spacing w:before="60" w:after="80" w:line="288" w:lineRule="auto"/>
        <w:jc w:val="center"/>
      </w:pPr>
      <w:r>
        <w:rPr>
          <w:rFonts w:ascii="Playfair Display" w:hAnsi="Playfair Display" w:cs="Playfair Display" w:eastAsia="Playfair Display"/>
          <w:b/>
          <w:i/>
          <w:color w:val="937425"/>
          <w:sz w:val="22"/>
        </w:rPr>
        <w:t>Competent.  Compassionate.  Confident.  Accountable.  Patient-First.</w:t>
      </w:r>
    </w:p>
    <w:p>
      <w:pPr>
        <w:spacing w:before="0" w:after="80" w:line="283" w:lineRule="auto"/>
        <w:jc w:val="both"/>
      </w:pPr>
      <w:r>
        <w:rPr>
          <w:rFonts w:ascii="Inter" w:hAnsi="Inter" w:cs="Inter" w:eastAsia="Inter"/>
          <w:b/>
          <w:i w:val="0"/>
          <w:color w:val="201C15"/>
          <w:sz w:val="15"/>
        </w:rPr>
        <w:t xml:space="preserve">Who we are.  </w:t>
      </w:r>
      <w:r>
        <w:rPr>
          <w:rFonts w:ascii="Inter" w:hAnsi="Inter" w:cs="Inter" w:eastAsia="Inter"/>
          <w:b w:val="0"/>
          <w:i w:val="0"/>
          <w:color w:val="555149"/>
          <w:sz w:val="15"/>
        </w:rPr>
        <w:t>Levitatte brings a founder with more than twenty-five years in behavioural, communication and service capability building, grounded in NLP and organisational behavioural psychology, with prior healthcare engagements at Fortis and Cloud9 Hospitals. Industry-specific knowledge of hospital floors shapes every module. We would welcome the chance to walk your team through this in person and to adjust the design in light of what you know about your own floors.</w:t>
      </w:r>
    </w:p>
    <w:p>
      <w:pPr>
        <w:spacing w:before="40" w:after="0" w:line="288" w:lineRule="auto"/>
      </w:pPr>
      <w:r>
        <w:rPr>
          <w:rFonts w:ascii="Inter" w:hAnsi="Inter" w:cs="Inter" w:eastAsia="Inter"/>
          <w:b/>
          <w:i w:val="0"/>
          <w:color w:val="201C15"/>
          <w:sz w:val="15"/>
          <w:spacing w:val="10"/>
        </w:rPr>
        <w:t>Kavitha Pillai</w:t>
      </w:r>
      <w:r>
        <w:rPr>
          <w:rFonts w:ascii="Inter" w:hAnsi="Inter" w:cs="Inter" w:eastAsia="Inter"/>
          <w:b w:val="0"/>
          <w:i w:val="0"/>
          <w:color w:val="555149"/>
          <w:sz w:val="14"/>
        </w:rPr>
        <w:t xml:space="preserve">   ·   Managing Director &amp; Head of Training</w:t>
      </w:r>
    </w:p>
    <w:p>
      <w:pPr>
        <w:spacing w:before="20" w:after="0" w:line="288" w:lineRule="auto"/>
      </w:pPr>
      <w:r>
        <w:rPr>
          <w:rFonts w:ascii="Inter" w:hAnsi="Inter" w:cs="Inter" w:eastAsia="Inter"/>
          <w:b w:val="0"/>
          <w:i w:val="0"/>
          <w:color w:val="8A867C"/>
          <w:sz w:val="13"/>
          <w:spacing w:val="12"/>
        </w:rPr>
        <w:t>+91 7411 099 183     ·     KAVITHA.PILLAI@LEVITATTE.COM     ·     WWW.LEVITATTE.COM</w:t>
      </w:r>
    </w:p>
    <w:p>
      <w:pPr>
        <w:spacing w:before="100" w:after="0" w:line="283" w:lineRule="auto"/>
        <w:pBdr>
          <w:left w:val="single" w:sz="14" w:space="8" w:color="937425"/>
        </w:pBdr>
        <w:ind w:left="158"/>
      </w:pPr>
      <w:r>
        <w:rPr>
          <w:rFonts w:ascii="Inter" w:hAnsi="Inter" w:cs="Inter" w:eastAsia="Inter"/>
          <w:b/>
          <w:i w:val="0"/>
          <w:color w:val="937425"/>
          <w:sz w:val="12"/>
          <w:spacing w:val="30"/>
        </w:rPr>
        <w:t xml:space="preserve">NOTE   </w:t>
      </w:r>
      <w:r>
        <w:rPr>
          <w:rFonts w:ascii="Inter" w:hAnsi="Inter" w:cs="Inter" w:eastAsia="Inter"/>
          <w:b w:val="0"/>
          <w:i/>
          <w:color w:val="555149"/>
          <w:sz w:val="14"/>
        </w:rPr>
        <w:t>Clinical, statutory and policy-specific training content will be developed or delivered in coordination with authorised hospital representatives and subject-matter experts.</w:t>
      </w:r>
    </w:p>
    <w:sectPr w:rsidR="00FC693F" w:rsidRPr="0006063C" w:rsidSect="00034616">
      <w:footerReference w:type="default" r:id="rId9"/>
      <w:pgSz w:w="11909" w:h="16834"/>
      <w:pgMar w:top="893" w:right="1152" w:bottom="835"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right"/>
      </w:tabs>
      <w:spacing w:before="0" w:after="0"/>
      <w:pBdr>
        <w:top w:val="single" w:sz="6" w:space="8" w:color="DDD7C8"/>
      </w:pBdr>
    </w:pPr>
    <w:r/>
    <w:r>
      <w:rPr>
        <w:rFonts w:ascii="Inter" w:hAnsi="Inter" w:cs="Inter" w:eastAsia="Inter"/>
        <w:b w:val="0"/>
        <w:i w:val="0"/>
        <w:color w:val="8A867C"/>
        <w:sz w:val="13"/>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