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8F3"/>
  <w:body>
    <w:p>
      <w:pPr>
        <w:spacing w:before="0" w:after="20"/>
        <w:jc w:val="center"/>
      </w:pPr>
      <w:r>
        <w:drawing>
          <wp:inline xmlns:a="http://schemas.openxmlformats.org/drawingml/2006/main" xmlns:pic="http://schemas.openxmlformats.org/drawingml/2006/picture">
            <wp:extent cx="768096" cy="534002"/>
            <wp:docPr id="1" name="Picture 1"/>
            <wp:cNvGraphicFramePr>
              <a:graphicFrameLocks noChangeAspect="1"/>
            </wp:cNvGraphicFramePr>
            <a:graphic>
              <a:graphicData uri="http://schemas.openxmlformats.org/drawingml/2006/picture">
                <pic:pic>
                  <pic:nvPicPr>
                    <pic:cNvPr id="0" name="owl_refined.png"/>
                    <pic:cNvPicPr/>
                  </pic:nvPicPr>
                  <pic:blipFill>
                    <a:blip r:embed="rId10"/>
                    <a:stretch>
                      <a:fillRect/>
                    </a:stretch>
                  </pic:blipFill>
                  <pic:spPr>
                    <a:xfrm>
                      <a:off x="0" y="0"/>
                      <a:ext cx="768096" cy="534002"/>
                    </a:xfrm>
                    <a:prstGeom prst="rect"/>
                  </pic:spPr>
                </pic:pic>
              </a:graphicData>
            </a:graphic>
          </wp:inline>
        </w:drawing>
      </w:r>
    </w:p>
    <w:p>
      <w:pPr>
        <w:spacing w:before="0" w:after="20"/>
        <w:jc w:val="center"/>
      </w:pPr>
      <w:r>
        <w:rPr>
          <w:rFonts w:ascii="Playfair Display" w:hAnsi="Playfair Display" w:cs="Playfair Display" w:eastAsia="Playfair Display"/>
          <w:b/>
          <w:i w:val="0"/>
          <w:color w:val="201C15"/>
          <w:sz w:val="33"/>
          <w:spacing w:val="76"/>
        </w:rPr>
        <w:t>LEVITATTE</w:t>
      </w:r>
    </w:p>
    <w:p>
      <w:pPr>
        <w:spacing w:before="0" w:after="220"/>
        <w:jc w:val="center"/>
      </w:pPr>
      <w:r>
        <w:rPr>
          <w:rFonts w:ascii="Inter" w:hAnsi="Inter" w:cs="Inter" w:eastAsia="Inter"/>
          <w:b/>
          <w:i w:val="0"/>
          <w:color w:val="937425"/>
          <w:sz w:val="13"/>
          <w:spacing w:val="40"/>
        </w:rPr>
        <w:t>LEARNING  &amp;  DEVELOPMENT</w:t>
      </w:r>
    </w:p>
    <w:p>
      <w:pPr>
        <w:spacing w:before="0" w:after="40" w:line="264" w:lineRule="auto"/>
        <w:jc w:val="center"/>
      </w:pPr>
      <w:r>
        <w:rPr>
          <w:rFonts w:ascii="Playfair Display" w:hAnsi="Playfair Display" w:cs="Playfair Display" w:eastAsia="Playfair Display"/>
          <w:b/>
          <w:i w:val="0"/>
          <w:color w:val="201C15"/>
          <w:sz w:val="32"/>
        </w:rPr>
        <w:t>Transforming Hospital Teams.</w:t>
      </w:r>
    </w:p>
    <w:p>
      <w:pPr>
        <w:spacing w:before="0" w:after="40" w:line="264" w:lineRule="auto"/>
        <w:jc w:val="center"/>
      </w:pPr>
      <w:r>
        <w:rPr>
          <w:rFonts w:ascii="Playfair Display" w:hAnsi="Playfair Display" w:cs="Playfair Display" w:eastAsia="Playfair Display"/>
          <w:b/>
          <w:i w:val="0"/>
          <w:color w:val="201C15"/>
          <w:sz w:val="32"/>
        </w:rPr>
        <w:t>Elevating Every Patient Experience.</w:t>
      </w:r>
    </w:p>
    <w:p>
      <w:pPr>
        <w:spacing w:before="100" w:after="60" w:line="300" w:lineRule="auto"/>
        <w:jc w:val="center"/>
      </w:pPr>
      <w:r>
        <w:rPr>
          <w:rFonts w:ascii="Playfair Display" w:hAnsi="Playfair Display" w:cs="Playfair Display" w:eastAsia="Playfair Display"/>
          <w:b w:val="0"/>
          <w:i/>
          <w:color w:val="4A4233"/>
          <w:sz w:val="21"/>
        </w:rPr>
        <w:t>A structured 90-day learning and development programme</w:t>
      </w:r>
    </w:p>
    <w:p>
      <w:pPr>
        <w:spacing w:before="0" w:after="140" w:line="324" w:lineRule="auto"/>
        <w:jc w:val="center"/>
      </w:pPr>
      <w:r>
        <w:rPr>
          <w:rFonts w:ascii="Inter" w:hAnsi="Inter" w:cs="Inter" w:eastAsia="Inter"/>
          <w:b/>
          <w:i w:val="0"/>
          <w:color w:val="937425"/>
          <w:sz w:val="13"/>
          <w:spacing w:val="28"/>
        </w:rPr>
        <w:t>END-TO-END LEARNING &amp; DEVELOPMENT SOLUTIONS FOR HEALTHCARE ORGANISATIONS</w:t>
      </w:r>
    </w:p>
    <w:tbl>
      <w:tblPr>
        <w:tblW w:type="auto" w:w="0"/>
        <w:jc w:val="center"/>
        <w:tblLayout w:type="fixed"/>
        <w:tblLook w:firstColumn="1" w:firstRow="1" w:lastColumn="0" w:lastRow="0" w:noHBand="0" w:noVBand="1" w:val="04A0"/>
        <w:tblBorders>
          <w:top w:val="single" w:sz="6" w:space="0" w:color="DDD7C8"/>
          <w:left w:val="none" w:sz="6" w:space="0" w:color="DDD7C8"/>
          <w:bottom w:val="single" w:sz="6" w:space="0" w:color="DDD7C8"/>
          <w:right w:val="none" w:sz="6" w:space="0" w:color="DDD7C8"/>
          <w:insideH w:val="none" w:sz="6" w:space="0" w:color="DDD7C8"/>
          <w:insideV w:val="none" w:sz="6" w:space="0" w:color="DDD7C8"/>
        </w:tblBorders>
        <w:tblLayout w:type="fixed"/>
      </w:tblPr>
      <w:tblGrid>
        <w:gridCol w:w="7272"/>
        <w:gridCol w:w="2332"/>
      </w:tblGrid>
      <w:tr>
        <w:tc>
          <w:tcPr>
            <w:tcW w:type="dxa" w:w="7272"/>
            <w:tcMar>
              <w:top w:w="80" w:type="dxa"/>
              <w:bottom w:w="80" w:type="dxa"/>
              <w:left w:w="0" w:type="dxa"/>
              <w:right w:w="60" w:type="dxa"/>
            </w:tcMar>
          </w:tcPr>
          <w:p>
            <w:pPr>
              <w:spacing w:before="0" w:after="0" w:line="300" w:lineRule="auto"/>
            </w:pPr>
            <w:r>
              <w:rPr>
                <w:rFonts w:ascii="Inter" w:hAnsi="Inter" w:cs="Inter" w:eastAsia="Inter"/>
                <w:b w:val="0"/>
                <w:i w:val="0"/>
                <w:color w:val="201C15"/>
                <w:sz w:val="17"/>
              </w:rPr>
              <w:t>Prepared for the leadership of Dr. Rela Institute &amp; Medical Centre, Chromepet, Chennai</w:t>
            </w:r>
          </w:p>
        </w:tc>
        <w:tc>
          <w:tcPr>
            <w:tcW w:type="dxa" w:w="2333"/>
            <w:tcMar>
              <w:top w:w="80" w:type="dxa"/>
              <w:bottom w:w="80" w:type="dxa"/>
              <w:left w:w="60" w:type="dxa"/>
              <w:right w:w="60" w:type="dxa"/>
            </w:tcMar>
          </w:tcPr>
          <w:p>
            <w:pPr>
              <w:spacing w:before="0" w:after="0" w:line="300" w:lineRule="auto"/>
              <w:jc w:val="right"/>
            </w:pPr>
            <w:r>
              <w:rPr>
                <w:rFonts w:ascii="Inter" w:hAnsi="Inter" w:cs="Inter" w:eastAsia="Inter"/>
                <w:b/>
                <w:i w:val="0"/>
                <w:color w:val="8A867C"/>
                <w:sz w:val="15"/>
                <w:spacing w:val="26"/>
              </w:rPr>
              <w:t>AUGUST 2026</w:t>
            </w:r>
          </w:p>
        </w:tc>
      </w:tr>
    </w:tbl>
    <w:p>
      <w:pPr>
        <w:spacing w:before="0" w:after="200"/>
      </w:pPr>
      <w:r>
        <w:rPr>
          <w:rFonts w:ascii="Inter" w:hAnsi="Inter" w:cs="Inter" w:eastAsia="Inter"/>
          <w:b w:val="0"/>
          <w:i w:val="0"/>
          <w:color w:val="201C15"/>
          <w:sz w:val="2"/>
        </w:rPr>
      </w:r>
    </w:p>
    <w:p>
      <w:pPr>
        <w:keepNext/>
        <w:spacing w:before="160" w:after="70"/>
      </w:pPr>
      <w:r>
        <w:rPr>
          <w:rFonts w:ascii="Playfair Display" w:hAnsi="Playfair Display" w:cs="Playfair Display" w:eastAsia="Playfair Display"/>
          <w:b/>
          <w:i w:val="0"/>
          <w:color w:val="B08930"/>
          <w:sz w:val="17"/>
        </w:rPr>
        <w:t xml:space="preserve">01   </w:t>
      </w:r>
      <w:r>
        <w:rPr>
          <w:rFonts w:ascii="Inter" w:hAnsi="Inter" w:cs="Inter" w:eastAsia="Inter"/>
          <w:b/>
          <w:i w:val="0"/>
          <w:color w:val="937425"/>
          <w:sz w:val="14"/>
          <w:spacing w:val="44"/>
        </w:rPr>
        <w:t>THE PROPOSITION</w:t>
      </w:r>
    </w:p>
    <w:p>
      <w:pPr>
        <w:keepNext/>
        <w:spacing w:before="0" w:after="120" w:line="269" w:lineRule="auto"/>
      </w:pPr>
      <w:r>
        <w:rPr>
          <w:rFonts w:ascii="Playfair Display" w:hAnsi="Playfair Display" w:cs="Playfair Display" w:eastAsia="Playfair Display"/>
          <w:b/>
          <w:i w:val="0"/>
          <w:color w:val="201C15"/>
          <w:sz w:val="28"/>
        </w:rPr>
        <w:t>Why This Matters</w:t>
      </w:r>
    </w:p>
    <w:p>
      <w:pPr>
        <w:spacing w:before="0" w:after="110" w:line="300" w:lineRule="auto"/>
        <w:jc w:val="both"/>
      </w:pPr>
      <w:r>
        <w:rPr>
          <w:rFonts w:ascii="Inter" w:hAnsi="Inter" w:cs="Inter" w:eastAsia="Inter"/>
          <w:b w:val="0"/>
          <w:i w:val="0"/>
          <w:color w:val="555149"/>
          <w:sz w:val="19"/>
        </w:rPr>
        <w:t>Every patient interaction shapes the reputation of a hospital. From the first telephone call and the registration counter through treatment coordination, billing and discharge, patients and their families expect clarity, compassion, professionalism and confidence.</w:t>
      </w:r>
    </w:p>
    <w:p>
      <w:pPr>
        <w:spacing w:before="0" w:after="110" w:line="300" w:lineRule="auto"/>
        <w:jc w:val="both"/>
      </w:pPr>
      <w:r>
        <w:rPr>
          <w:rFonts w:ascii="Inter" w:hAnsi="Inter" w:cs="Inter" w:eastAsia="Inter"/>
          <w:b w:val="0"/>
          <w:i w:val="0"/>
          <w:color w:val="555149"/>
          <w:sz w:val="19"/>
        </w:rPr>
        <w:t>Across a full episode of care the treating consultant is present for only some of the patient's time in the building. The rest belongs to front office, patient relations, billing, nursing and clinical support, housekeeping and security, who hold the experience together at moments the clinician never sees. Clinical excellence can be concentrated in specialists; the experience of being cared for cannot, because it is assembled touchpoint by touchpoint. That consistency is a capability, and it is trainable.</w:t>
      </w:r>
    </w:p>
    <w:p>
      <w:pPr>
        <w:keepNext/>
        <w:spacing w:before="160" w:after="70"/>
      </w:pPr>
      <w:r>
        <w:rPr>
          <w:rFonts w:ascii="Playfair Display" w:hAnsi="Playfair Display" w:cs="Playfair Display" w:eastAsia="Playfair Display"/>
          <w:b/>
          <w:i w:val="0"/>
          <w:color w:val="B08930"/>
          <w:sz w:val="17"/>
        </w:rPr>
        <w:t xml:space="preserve">02   </w:t>
      </w:r>
      <w:r>
        <w:rPr>
          <w:rFonts w:ascii="Inter" w:hAnsi="Inter" w:cs="Inter" w:eastAsia="Inter"/>
          <w:b/>
          <w:i w:val="0"/>
          <w:color w:val="937425"/>
          <w:sz w:val="14"/>
          <w:spacing w:val="44"/>
        </w:rPr>
        <w:t>COMMERCIAL TERMS</w:t>
      </w:r>
    </w:p>
    <w:p>
      <w:pPr>
        <w:keepNext/>
        <w:spacing w:before="0" w:after="120" w:line="269" w:lineRule="auto"/>
      </w:pPr>
      <w:r>
        <w:rPr>
          <w:rFonts w:ascii="Playfair Display" w:hAnsi="Playfair Display" w:cs="Playfair Display" w:eastAsia="Playfair Display"/>
          <w:b/>
          <w:i w:val="0"/>
          <w:color w:val="201C15"/>
          <w:sz w:val="28"/>
        </w:rPr>
        <w:t>The Engagement At A Glance</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2664"/>
        <w:gridCol w:w="6940"/>
      </w:tblGrid>
      <w:tr>
        <w:tc>
          <w:tcPr>
            <w:tcW w:type="dxa" w:w="2664"/>
            <w:tcMar>
              <w:top w:w="62" w:type="dxa"/>
              <w:bottom w:w="62" w:type="dxa"/>
              <w:left w:w="0" w:type="dxa"/>
              <w:right w:w="90" w:type="dxa"/>
            </w:tcMar>
          </w:tcPr>
          <w:p>
            <w:pPr>
              <w:spacing w:before="0" w:after="0" w:line="288" w:lineRule="auto"/>
            </w:pPr>
            <w:r>
              <w:rPr>
                <w:rFonts w:ascii="Inter" w:hAnsi="Inter" w:cs="Inter" w:eastAsia="Inter"/>
                <w:b/>
                <w:i w:val="0"/>
                <w:color w:val="8A867C"/>
                <w:sz w:val="13"/>
                <w:spacing w:val="24"/>
              </w:rPr>
              <w:t>ENGAGEMENT DURATION</w:t>
            </w:r>
          </w:p>
        </w:tc>
        <w:tc>
          <w:tcPr>
            <w:tcW w:type="dxa" w:w="6941"/>
            <w:tcMar>
              <w:top w:w="62" w:type="dxa"/>
              <w:bottom w:w="62" w:type="dxa"/>
              <w:left w:w="90" w:type="dxa"/>
              <w:right w:w="90" w:type="dxa"/>
            </w:tcMar>
          </w:tcPr>
          <w:p>
            <w:pPr>
              <w:spacing w:before="0" w:after="0" w:line="298" w:lineRule="auto"/>
            </w:pPr>
            <w:r>
              <w:rPr>
                <w:rFonts w:ascii="Inter" w:hAnsi="Inter" w:cs="Inter" w:eastAsia="Inter"/>
                <w:b w:val="0"/>
                <w:i w:val="0"/>
                <w:color w:val="201C15"/>
                <w:sz w:val="18"/>
              </w:rPr>
              <w:t>90 days (approximately 13 weeks)</w:t>
            </w:r>
          </w:p>
        </w:tc>
      </w:tr>
      <w:tr>
        <w:tc>
          <w:tcPr>
            <w:tcW w:type="dxa" w:w="2664"/>
            <w:tcMar>
              <w:top w:w="62" w:type="dxa"/>
              <w:bottom w:w="62" w:type="dxa"/>
              <w:left w:w="0" w:type="dxa"/>
              <w:right w:w="90" w:type="dxa"/>
            </w:tcMar>
            <w:shd w:val="clear" w:color="auto" w:fill="FCFAF5"/>
          </w:tcPr>
          <w:p>
            <w:pPr>
              <w:spacing w:before="0" w:after="0" w:line="288" w:lineRule="auto"/>
            </w:pPr>
            <w:r>
              <w:rPr>
                <w:rFonts w:ascii="Inter" w:hAnsi="Inter" w:cs="Inter" w:eastAsia="Inter"/>
                <w:b/>
                <w:i w:val="0"/>
                <w:color w:val="8A867C"/>
                <w:sz w:val="13"/>
                <w:spacing w:val="24"/>
              </w:rPr>
              <w:t>TRAINING DAYS</w:t>
            </w:r>
          </w:p>
        </w:tc>
        <w:tc>
          <w:tcPr>
            <w:tcW w:type="dxa" w:w="6941"/>
            <w:tcMar>
              <w:top w:w="62" w:type="dxa"/>
              <w:bottom w:w="62" w:type="dxa"/>
              <w:left w:w="90" w:type="dxa"/>
              <w:right w:w="90" w:type="dxa"/>
            </w:tcMar>
            <w:shd w:val="clear" w:color="auto" w:fill="FCFAF5"/>
          </w:tcPr>
          <w:p>
            <w:pPr>
              <w:spacing w:before="0" w:after="0" w:line="298" w:lineRule="auto"/>
            </w:pPr>
            <w:r>
              <w:rPr>
                <w:rFonts w:ascii="Inter" w:hAnsi="Inter" w:cs="Inter" w:eastAsia="Inter"/>
                <w:b w:val="0"/>
                <w:i w:val="0"/>
                <w:color w:val="201C15"/>
                <w:sz w:val="18"/>
              </w:rPr>
              <w:t>Every Wednesday, Thursday and Friday</w:t>
            </w:r>
          </w:p>
        </w:tc>
      </w:tr>
      <w:tr>
        <w:tc>
          <w:tcPr>
            <w:tcW w:type="dxa" w:w="2664"/>
            <w:tcMar>
              <w:top w:w="62" w:type="dxa"/>
              <w:bottom w:w="62" w:type="dxa"/>
              <w:left w:w="0" w:type="dxa"/>
              <w:right w:w="90" w:type="dxa"/>
            </w:tcMar>
          </w:tcPr>
          <w:p>
            <w:pPr>
              <w:spacing w:before="0" w:after="0" w:line="288" w:lineRule="auto"/>
            </w:pPr>
            <w:r>
              <w:rPr>
                <w:rFonts w:ascii="Inter" w:hAnsi="Inter" w:cs="Inter" w:eastAsia="Inter"/>
                <w:b/>
                <w:i w:val="0"/>
                <w:color w:val="8A867C"/>
                <w:sz w:val="13"/>
                <w:spacing w:val="24"/>
              </w:rPr>
              <w:t>SESSION DURATION</w:t>
            </w:r>
          </w:p>
        </w:tc>
        <w:tc>
          <w:tcPr>
            <w:tcW w:type="dxa" w:w="6941"/>
            <w:tcMar>
              <w:top w:w="62" w:type="dxa"/>
              <w:bottom w:w="62" w:type="dxa"/>
              <w:left w:w="90" w:type="dxa"/>
              <w:right w:w="90" w:type="dxa"/>
            </w:tcMar>
          </w:tcPr>
          <w:p>
            <w:pPr>
              <w:spacing w:before="0" w:after="0" w:line="298" w:lineRule="auto"/>
            </w:pPr>
            <w:r>
              <w:rPr>
                <w:rFonts w:ascii="Inter" w:hAnsi="Inter" w:cs="Inter" w:eastAsia="Inter"/>
                <w:b w:val="0"/>
                <w:i w:val="0"/>
                <w:color w:val="201C15"/>
                <w:sz w:val="18"/>
              </w:rPr>
              <w:t>4 hours per session</w:t>
            </w:r>
          </w:p>
        </w:tc>
      </w:tr>
      <w:tr>
        <w:tc>
          <w:tcPr>
            <w:tcW w:type="dxa" w:w="2664"/>
            <w:tcMar>
              <w:top w:w="62" w:type="dxa"/>
              <w:bottom w:w="62" w:type="dxa"/>
              <w:left w:w="0" w:type="dxa"/>
              <w:right w:w="90" w:type="dxa"/>
            </w:tcMar>
            <w:shd w:val="clear" w:color="auto" w:fill="FCFAF5"/>
          </w:tcPr>
          <w:p>
            <w:pPr>
              <w:spacing w:before="0" w:after="0" w:line="288" w:lineRule="auto"/>
            </w:pPr>
            <w:r>
              <w:rPr>
                <w:rFonts w:ascii="Inter" w:hAnsi="Inter" w:cs="Inter" w:eastAsia="Inter"/>
                <w:b/>
                <w:i w:val="0"/>
                <w:color w:val="8A867C"/>
                <w:sz w:val="13"/>
                <w:spacing w:val="24"/>
              </w:rPr>
              <w:t>BATCH SIZE</w:t>
            </w:r>
          </w:p>
        </w:tc>
        <w:tc>
          <w:tcPr>
            <w:tcW w:type="dxa" w:w="6941"/>
            <w:tcMar>
              <w:top w:w="62" w:type="dxa"/>
              <w:bottom w:w="62" w:type="dxa"/>
              <w:left w:w="90" w:type="dxa"/>
              <w:right w:w="90" w:type="dxa"/>
            </w:tcMar>
            <w:shd w:val="clear" w:color="auto" w:fill="FCFAF5"/>
          </w:tcPr>
          <w:p>
            <w:pPr>
              <w:spacing w:before="0" w:after="0" w:line="298" w:lineRule="auto"/>
            </w:pPr>
            <w:r>
              <w:rPr>
                <w:rFonts w:ascii="Inter" w:hAnsi="Inter" w:cs="Inter" w:eastAsia="Inter"/>
                <w:b w:val="0"/>
                <w:i w:val="0"/>
                <w:color w:val="201C15"/>
                <w:sz w:val="18"/>
              </w:rPr>
              <w:t>Up to 30 participants per batch</w:t>
            </w:r>
          </w:p>
        </w:tc>
      </w:tr>
      <w:tr>
        <w:tc>
          <w:tcPr>
            <w:tcW w:type="dxa" w:w="2664"/>
            <w:tcMar>
              <w:top w:w="62" w:type="dxa"/>
              <w:bottom w:w="62" w:type="dxa"/>
              <w:left w:w="0" w:type="dxa"/>
              <w:right w:w="90" w:type="dxa"/>
            </w:tcMar>
          </w:tcPr>
          <w:p>
            <w:pPr>
              <w:spacing w:before="0" w:after="0" w:line="288" w:lineRule="auto"/>
            </w:pPr>
            <w:r>
              <w:rPr>
                <w:rFonts w:ascii="Inter" w:hAnsi="Inter" w:cs="Inter" w:eastAsia="Inter"/>
                <w:b/>
                <w:i w:val="0"/>
                <w:color w:val="8A867C"/>
                <w:sz w:val="13"/>
                <w:spacing w:val="24"/>
              </w:rPr>
              <w:t>SESSIONS IN THE ENGAGEMENT</w:t>
            </w:r>
          </w:p>
        </w:tc>
        <w:tc>
          <w:tcPr>
            <w:tcW w:type="dxa" w:w="6941"/>
            <w:tcMar>
              <w:top w:w="62" w:type="dxa"/>
              <w:bottom w:w="62" w:type="dxa"/>
              <w:left w:w="90" w:type="dxa"/>
              <w:right w:w="90" w:type="dxa"/>
            </w:tcMar>
          </w:tcPr>
          <w:p>
            <w:pPr>
              <w:spacing w:before="0" w:after="0" w:line="298" w:lineRule="auto"/>
            </w:pPr>
            <w:r>
              <w:rPr>
                <w:rFonts w:ascii="Inter" w:hAnsi="Inter" w:cs="Inter" w:eastAsia="Inter"/>
                <w:b w:val="0"/>
                <w:i w:val="0"/>
                <w:color w:val="201C15"/>
                <w:sz w:val="18"/>
              </w:rPr>
              <w:t>Up to 39 (36 to 39 subject to start date and hospital holidays)</w:t>
            </w:r>
          </w:p>
        </w:tc>
      </w:tr>
      <w:tr>
        <w:tc>
          <w:tcPr>
            <w:tcW w:type="dxa" w:w="2664"/>
            <w:tcMar>
              <w:top w:w="62" w:type="dxa"/>
              <w:bottom w:w="62" w:type="dxa"/>
              <w:left w:w="0" w:type="dxa"/>
              <w:right w:w="90" w:type="dxa"/>
            </w:tcMar>
            <w:shd w:val="clear" w:color="auto" w:fill="FCFAF5"/>
          </w:tcPr>
          <w:p>
            <w:pPr>
              <w:spacing w:before="0" w:after="0" w:line="288" w:lineRule="auto"/>
            </w:pPr>
            <w:r>
              <w:rPr>
                <w:rFonts w:ascii="Inter" w:hAnsi="Inter" w:cs="Inter" w:eastAsia="Inter"/>
                <w:b/>
                <w:i w:val="0"/>
                <w:color w:val="8A867C"/>
                <w:sz w:val="13"/>
                <w:spacing w:val="24"/>
              </w:rPr>
              <w:t>FACILITATOR-LED HOURS</w:t>
            </w:r>
          </w:p>
        </w:tc>
        <w:tc>
          <w:tcPr>
            <w:tcW w:type="dxa" w:w="6941"/>
            <w:tcMar>
              <w:top w:w="62" w:type="dxa"/>
              <w:bottom w:w="62" w:type="dxa"/>
              <w:left w:w="90" w:type="dxa"/>
              <w:right w:w="90" w:type="dxa"/>
            </w:tcMar>
            <w:shd w:val="clear" w:color="auto" w:fill="FCFAF5"/>
          </w:tcPr>
          <w:p>
            <w:pPr>
              <w:spacing w:before="0" w:after="0" w:line="298" w:lineRule="auto"/>
            </w:pPr>
            <w:r>
              <w:rPr>
                <w:rFonts w:ascii="Inter" w:hAnsi="Inter" w:cs="Inter" w:eastAsia="Inter"/>
                <w:b w:val="0"/>
                <w:i w:val="0"/>
                <w:color w:val="201C15"/>
                <w:sz w:val="18"/>
              </w:rPr>
              <w:t>Up to 156 hours (144 to 156)</w:t>
            </w:r>
          </w:p>
        </w:tc>
      </w:tr>
      <w:tr>
        <w:tc>
          <w:tcPr>
            <w:tcW w:type="dxa" w:w="2664"/>
            <w:tcMar>
              <w:top w:w="62" w:type="dxa"/>
              <w:bottom w:w="62" w:type="dxa"/>
              <w:left w:w="0" w:type="dxa"/>
              <w:right w:w="90" w:type="dxa"/>
            </w:tcMar>
          </w:tcPr>
          <w:p>
            <w:pPr>
              <w:spacing w:before="0" w:after="0" w:line="288" w:lineRule="auto"/>
            </w:pPr>
            <w:r>
              <w:rPr>
                <w:rFonts w:ascii="Inter" w:hAnsi="Inter" w:cs="Inter" w:eastAsia="Inter"/>
                <w:b/>
                <w:i w:val="0"/>
                <w:color w:val="8A867C"/>
                <w:sz w:val="13"/>
                <w:spacing w:val="24"/>
              </w:rPr>
              <w:t>PROFESSIONAL FEE</w:t>
            </w:r>
          </w:p>
        </w:tc>
        <w:tc>
          <w:tcPr>
            <w:tcW w:type="dxa" w:w="6941"/>
            <w:tcMar>
              <w:top w:w="62" w:type="dxa"/>
              <w:bottom w:w="62" w:type="dxa"/>
              <w:left w:w="90" w:type="dxa"/>
              <w:right w:w="90" w:type="dxa"/>
            </w:tcMar>
          </w:tcPr>
          <w:p>
            <w:pPr>
              <w:spacing w:before="0" w:after="0" w:line="298" w:lineRule="auto"/>
            </w:pPr>
            <w:r>
              <w:rPr>
                <w:rFonts w:ascii="Inter" w:hAnsi="Inter" w:cs="Inter" w:eastAsia="Inter"/>
                <w:b w:val="0"/>
                <w:i w:val="0"/>
                <w:color w:val="201C15"/>
                <w:sz w:val="18"/>
              </w:rPr>
              <w:t>Rs 2,00,000 per month, fixed and inclusive of tax deducted at source</w:t>
            </w:r>
          </w:p>
        </w:tc>
      </w:tr>
      <w:tr>
        <w:tc>
          <w:tcPr>
            <w:tcW w:type="dxa" w:w="2664"/>
            <w:tcMar>
              <w:top w:w="62" w:type="dxa"/>
              <w:bottom w:w="62" w:type="dxa"/>
              <w:left w:w="0" w:type="dxa"/>
              <w:right w:w="90" w:type="dxa"/>
            </w:tcMar>
            <w:shd w:val="clear" w:color="auto" w:fill="FCFAF5"/>
          </w:tcPr>
          <w:p>
            <w:pPr>
              <w:spacing w:before="0" w:after="0" w:line="288" w:lineRule="auto"/>
            </w:pPr>
            <w:r>
              <w:rPr>
                <w:rFonts w:ascii="Inter" w:hAnsi="Inter" w:cs="Inter" w:eastAsia="Inter"/>
                <w:b/>
                <w:i w:val="0"/>
                <w:color w:val="8A867C"/>
                <w:sz w:val="13"/>
                <w:spacing w:val="24"/>
              </w:rPr>
              <w:t>GST</w:t>
            </w:r>
          </w:p>
        </w:tc>
        <w:tc>
          <w:tcPr>
            <w:tcW w:type="dxa" w:w="6941"/>
            <w:tcMar>
              <w:top w:w="62" w:type="dxa"/>
              <w:bottom w:w="62" w:type="dxa"/>
              <w:left w:w="90" w:type="dxa"/>
              <w:right w:w="90" w:type="dxa"/>
            </w:tcMar>
            <w:shd w:val="clear" w:color="auto" w:fill="FCFAF5"/>
          </w:tcPr>
          <w:p>
            <w:pPr>
              <w:spacing w:before="0" w:after="0" w:line="298" w:lineRule="auto"/>
            </w:pPr>
            <w:r>
              <w:rPr>
                <w:rFonts w:ascii="Inter" w:hAnsi="Inter" w:cs="Inter" w:eastAsia="Inter"/>
                <w:b w:val="0"/>
                <w:i w:val="0"/>
                <w:color w:val="201C15"/>
                <w:sz w:val="18"/>
              </w:rPr>
              <w:t>As applicable, additional</w:t>
            </w:r>
          </w:p>
        </w:tc>
      </w:tr>
      <w:tr>
        <w:tc>
          <w:tcPr>
            <w:tcW w:type="dxa" w:w="2664"/>
            <w:tcMar>
              <w:top w:w="62" w:type="dxa"/>
              <w:bottom w:w="62" w:type="dxa"/>
              <w:left w:w="0" w:type="dxa"/>
              <w:right w:w="90" w:type="dxa"/>
            </w:tcMar>
          </w:tcPr>
          <w:p>
            <w:pPr>
              <w:spacing w:before="0" w:after="0" w:line="288" w:lineRule="auto"/>
            </w:pPr>
            <w:r>
              <w:rPr>
                <w:rFonts w:ascii="Inter" w:hAnsi="Inter" w:cs="Inter" w:eastAsia="Inter"/>
                <w:b/>
                <w:i w:val="0"/>
                <w:color w:val="8A867C"/>
                <w:sz w:val="13"/>
                <w:spacing w:val="24"/>
              </w:rPr>
              <w:t>TOTAL ENGAGEMENT VALUE</w:t>
            </w:r>
          </w:p>
        </w:tc>
        <w:tc>
          <w:tcPr>
            <w:tcW w:type="dxa" w:w="6941"/>
            <w:tcMar>
              <w:top w:w="62" w:type="dxa"/>
              <w:bottom w:w="62" w:type="dxa"/>
              <w:left w:w="90" w:type="dxa"/>
              <w:right w:w="90" w:type="dxa"/>
            </w:tcMar>
          </w:tcPr>
          <w:p>
            <w:pPr>
              <w:spacing w:before="0" w:after="0" w:line="298" w:lineRule="auto"/>
            </w:pPr>
            <w:r>
              <w:rPr>
                <w:rFonts w:ascii="Inter" w:hAnsi="Inter" w:cs="Inter" w:eastAsia="Inter"/>
                <w:b w:val="0"/>
                <w:i w:val="0"/>
                <w:color w:val="201C15"/>
                <w:sz w:val="18"/>
              </w:rPr>
              <w:t>Rs 6,00,000 for 90 days, excluding GST</w:t>
            </w:r>
          </w:p>
        </w:tc>
      </w:tr>
    </w:tbl>
    <w:p>
      <w:pPr>
        <w:spacing w:before="0" w:after="120"/>
      </w:pPr>
      <w:r>
        <w:rPr>
          <w:rFonts w:ascii="Inter" w:hAnsi="Inter" w:cs="Inter" w:eastAsia="Inter"/>
          <w:b w:val="0"/>
          <w:i w:val="0"/>
          <w:color w:val="201C15"/>
          <w:sz w:val="2"/>
        </w:rPr>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2044"/>
        <w:gridCol w:w="3916"/>
        <w:gridCol w:w="3643"/>
      </w:tblGrid>
      <w:tr>
        <w:trPr>
          <w:tblHeader/>
          <w:cantSplit/>
        </w:trPr>
        <w:tc>
          <w:tcPr>
            <w:tcW w:type="dxa" w:w="2045"/>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ITEM</w:t>
            </w:r>
          </w:p>
        </w:tc>
        <w:tc>
          <w:tcPr>
            <w:tcW w:type="dxa" w:w="3917"/>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PER MONTH</w:t>
            </w:r>
          </w:p>
        </w:tc>
        <w:tc>
          <w:tcPr>
            <w:tcW w:type="dxa" w:w="3643"/>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ACROSS 90 DAYS</w:t>
            </w:r>
          </w:p>
        </w:tc>
      </w:tr>
      <w:tr>
        <w:trPr>
          <w:cantSplit/>
        </w:trPr>
        <w:tc>
          <w:tcPr>
            <w:tcW w:type="dxa" w:w="2045"/>
            <w:tcMar>
              <w:top w:w="40" w:type="dxa"/>
              <w:bottom w:w="40" w:type="dxa"/>
              <w:left w:w="90" w:type="dxa"/>
              <w:right w:w="90" w:type="dxa"/>
            </w:tcMar>
          </w:tcPr>
          <w:p>
            <w:pPr>
              <w:spacing w:before="0" w:after="0" w:line="288" w:lineRule="auto"/>
            </w:pPr>
            <w:r>
              <w:rPr>
                <w:rFonts w:ascii="Inter" w:hAnsi="Inter" w:cs="Inter" w:eastAsia="Inter"/>
                <w:b/>
                <w:i w:val="0"/>
                <w:color w:val="201C15"/>
                <w:sz w:val="17"/>
              </w:rPr>
              <w:t>Professional fee (gross, contracted)</w:t>
            </w:r>
          </w:p>
        </w:tc>
        <w:tc>
          <w:tcPr>
            <w:tcW w:type="dxa" w:w="3917"/>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Rs 2,00,000</w:t>
            </w:r>
          </w:p>
        </w:tc>
        <w:tc>
          <w:tcPr>
            <w:tcW w:type="dxa" w:w="3643"/>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Rs 6,00,000</w:t>
            </w:r>
          </w:p>
        </w:tc>
      </w:tr>
      <w:tr>
        <w:trPr>
          <w:cantSplit/>
        </w:trPr>
        <w:tc>
          <w:tcPr>
            <w:tcW w:type="dxa" w:w="2045"/>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Less tax deducted at source at 10%</w:t>
            </w:r>
          </w:p>
        </w:tc>
        <w:tc>
          <w:tcPr>
            <w:tcW w:type="dxa" w:w="3917"/>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(Rs 20,000)</w:t>
            </w:r>
          </w:p>
        </w:tc>
        <w:tc>
          <w:tcPr>
            <w:tcW w:type="dxa" w:w="3643"/>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(Rs 60,000)</w:t>
            </w:r>
          </w:p>
        </w:tc>
      </w:tr>
      <w:tr>
        <w:trPr>
          <w:cantSplit/>
        </w:trPr>
        <w:tc>
          <w:tcPr>
            <w:tcW w:type="dxa" w:w="2045"/>
            <w:tcMar>
              <w:top w:w="40" w:type="dxa"/>
              <w:bottom w:w="40" w:type="dxa"/>
              <w:left w:w="90" w:type="dxa"/>
              <w:right w:w="90" w:type="dxa"/>
            </w:tcMar>
          </w:tcPr>
          <w:p>
            <w:pPr>
              <w:spacing w:before="0" w:after="0" w:line="288" w:lineRule="auto"/>
            </w:pPr>
            <w:r>
              <w:rPr>
                <w:rFonts w:ascii="Inter" w:hAnsi="Inter" w:cs="Inter" w:eastAsia="Inter"/>
                <w:b/>
                <w:i w:val="0"/>
                <w:color w:val="201C15"/>
                <w:sz w:val="17"/>
              </w:rPr>
              <w:t>Payable to Levitatte</w:t>
            </w:r>
          </w:p>
        </w:tc>
        <w:tc>
          <w:tcPr>
            <w:tcW w:type="dxa" w:w="3917"/>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Rs 1,80,000</w:t>
            </w:r>
          </w:p>
        </w:tc>
        <w:tc>
          <w:tcPr>
            <w:tcW w:type="dxa" w:w="3643"/>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Rs 5,40,000</w:t>
            </w:r>
          </w:p>
        </w:tc>
      </w:tr>
    </w:tbl>
    <w:p>
      <w:pPr>
        <w:spacing w:before="0" w:after="120"/>
      </w:pPr>
      <w:r>
        <w:rPr>
          <w:rFonts w:ascii="Inter" w:hAnsi="Inter" w:cs="Inter" w:eastAsia="Inter"/>
          <w:b w:val="0"/>
          <w:i w:val="0"/>
          <w:color w:val="201C15"/>
          <w:sz w:val="2"/>
        </w:rPr>
      </w:r>
    </w:p>
    <w:p>
      <w:pPr>
        <w:spacing w:before="0" w:after="110" w:line="300" w:lineRule="auto"/>
        <w:jc w:val="both"/>
      </w:pPr>
      <w:r>
        <w:rPr>
          <w:rFonts w:ascii="Inter" w:hAnsi="Inter" w:cs="Inter" w:eastAsia="Inter"/>
          <w:b w:val="0"/>
          <w:i w:val="0"/>
          <w:color w:val="555149"/>
          <w:sz w:val="19"/>
        </w:rPr>
        <w:t>The fee is inclusive of tax deducted at source: the hospital deducts TDS from each monthly invoice and deposits it against Levitatte's PAN, so the amount remitted is the fee net of that deduction. It is not a reduction in the agreed fee and not a cost to the hospital, but income tax paid in advance on Levitatte's behalf and claimed back as credit. Deduction is expected at 10% under section 194J of the Income-tax Act, 1961, applied to the fee and not to GST, so GST does not change what Levitatte retains. The hospital confirms the section and rate, so the figures above are illustrative. Invoices are raised monthly in arrears, with the Form 16A certificate issued quarterly.</w:t>
      </w:r>
    </w:p>
    <w:p>
      <w:pPr>
        <w:spacing w:before="0" w:after="110" w:line="300" w:lineRule="auto"/>
        <w:jc w:val="both"/>
      </w:pPr>
      <w:r>
        <w:rPr>
          <w:rFonts w:ascii="Inter" w:hAnsi="Inter" w:cs="Inter" w:eastAsia="Inter"/>
          <w:b w:val="0"/>
          <w:i w:val="0"/>
          <w:color w:val="555149"/>
          <w:sz w:val="19"/>
        </w:rPr>
        <w:t>The fee is one fixed monthly charge, not a per-session or per-participant rate, so the cost is known at the outset and does not rise as more people are nominated. It covers the diagnose stage, design and customisation of all twelve modules and the induction programme, facilitation, guides, materials and job aids, assessments, observation, records, monthly reporting and management reviews. On the gross fee that is about Rs 3,850 per facilitator-led hour, or about Rs 128 per participant-training-hour across 4,680 participant-hours; at 36 sessions, about Rs 4,167 and Rs 139.</w:t>
      </w:r>
    </w:p>
    <w:p>
      <w:pPr>
        <w:keepNext/>
        <w:spacing w:before="160" w:after="70"/>
      </w:pPr>
      <w:r>
        <w:rPr>
          <w:rFonts w:ascii="Playfair Display" w:hAnsi="Playfair Display" w:cs="Playfair Display" w:eastAsia="Playfair Display"/>
          <w:b/>
          <w:i w:val="0"/>
          <w:color w:val="B08930"/>
          <w:sz w:val="17"/>
        </w:rPr>
        <w:t xml:space="preserve">03   </w:t>
      </w:r>
      <w:r>
        <w:rPr>
          <w:rFonts w:ascii="Inter" w:hAnsi="Inter" w:cs="Inter" w:eastAsia="Inter"/>
          <w:b/>
          <w:i w:val="0"/>
          <w:color w:val="937425"/>
          <w:sz w:val="14"/>
          <w:spacing w:val="44"/>
        </w:rPr>
        <w:t>CURRICULUM</w:t>
      </w:r>
    </w:p>
    <w:p>
      <w:pPr>
        <w:keepNext/>
        <w:spacing w:before="0" w:after="120" w:line="269" w:lineRule="auto"/>
      </w:pPr>
      <w:r>
        <w:rPr>
          <w:rFonts w:ascii="Playfair Display" w:hAnsi="Playfair Display" w:cs="Playfair Display" w:eastAsia="Playfair Display"/>
          <w:b/>
          <w:i w:val="0"/>
          <w:color w:val="201C15"/>
          <w:sz w:val="28"/>
        </w:rPr>
        <w:t>The Twelve Modules, And Why In This Order</w:t>
      </w:r>
    </w:p>
    <w:p>
      <w:pPr>
        <w:spacing w:before="0" w:after="140" w:line="300" w:lineRule="auto"/>
        <w:jc w:val="both"/>
      </w:pPr>
      <w:r>
        <w:rPr>
          <w:rFonts w:ascii="Inter" w:hAnsi="Inter" w:cs="Inter" w:eastAsia="Inter"/>
          <w:b w:val="0"/>
          <w:i w:val="0"/>
          <w:color w:val="4A4233"/>
          <w:sz w:val="20"/>
        </w:rPr>
        <w:t>The sequence runs from awareness to self, then to tools, inner capability, application, complexity, sustainability and finally multiplication. Three placements are deliberate.</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i w:val="0"/>
          <w:color w:val="201C15"/>
          <w:sz w:val="19"/>
        </w:rPr>
        <w:t>Professional presence early:</w:t>
      </w:r>
      <w:r>
        <w:rPr>
          <w:rFonts w:ascii="Inter" w:hAnsi="Inter" w:cs="Inter" w:eastAsia="Inter"/>
          <w:b w:val="0"/>
          <w:i w:val="0"/>
          <w:color w:val="555149"/>
          <w:sz w:val="19"/>
        </w:rPr>
        <w:t xml:space="preserve"> the patient judges before a word is spoken, and it is the quickest change to become visible, which earns the programme credibility for the harder work that follows.</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i w:val="0"/>
          <w:color w:val="201C15"/>
          <w:sz w:val="19"/>
        </w:rPr>
        <w:t>Difficult situations late, resilience straight after:</w:t>
      </w:r>
      <w:r>
        <w:rPr>
          <w:rFonts w:ascii="Inter" w:hAnsi="Inter" w:cs="Inter" w:eastAsia="Inter"/>
          <w:b w:val="0"/>
          <w:i w:val="0"/>
          <w:color w:val="555149"/>
          <w:sz w:val="19"/>
        </w:rPr>
        <w:t xml:space="preserve"> de-escalation depends on active listening, emotional regulation and agreed standards already being in place. Teaching complaint handling first is the most common design error.</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i w:val="0"/>
          <w:color w:val="201C15"/>
          <w:sz w:val="19"/>
        </w:rPr>
        <w:t>Supervisors after their teams, Train-the-Trainer last:</w:t>
      </w:r>
      <w:r>
        <w:rPr>
          <w:rFonts w:ascii="Inter" w:hAnsi="Inter" w:cs="Inter" w:eastAsia="Inter"/>
          <w:b w:val="0"/>
          <w:i w:val="0"/>
          <w:color w:val="555149"/>
          <w:sz w:val="19"/>
        </w:rPr>
        <w:t xml:space="preserve"> a supervisor cannot reinforce a standard they did not sit through. Trained staff returning to untrained supervisors regress.</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2908"/>
        <w:gridCol w:w="4680"/>
        <w:gridCol w:w="950"/>
        <w:gridCol w:w="1065"/>
      </w:tblGrid>
      <w:tr>
        <w:trPr>
          <w:tblHeader/>
          <w:cantSplit/>
        </w:trPr>
        <w:tc>
          <w:tcPr>
            <w:tcW w:type="dxa" w:w="2909"/>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MODULE</w:t>
            </w:r>
          </w:p>
        </w:tc>
        <w:tc>
          <w:tcPr>
            <w:tcW w:type="dxa" w:w="4680"/>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FOCUS</w:t>
            </w:r>
          </w:p>
        </w:tc>
        <w:tc>
          <w:tcPr>
            <w:tcW w:type="dxa" w:w="950"/>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WEEKS</w:t>
            </w:r>
          </w:p>
        </w:tc>
        <w:tc>
          <w:tcPr>
            <w:tcW w:type="dxa" w:w="1066"/>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SESSIONS</w:t>
            </w:r>
          </w:p>
        </w:tc>
      </w:tr>
      <w:tr>
        <w:trPr>
          <w:cantSplit/>
        </w:trPr>
        <w:tc>
          <w:tcPr>
            <w:tcW w:type="dxa" w:w="2909"/>
            <w:tcMar>
              <w:top w:w="40" w:type="dxa"/>
              <w:bottom w:w="40" w:type="dxa"/>
              <w:left w:w="90" w:type="dxa"/>
              <w:right w:w="90" w:type="dxa"/>
            </w:tcMar>
          </w:tcPr>
          <w:p>
            <w:pPr>
              <w:spacing w:before="0" w:after="0" w:line="288" w:lineRule="auto"/>
            </w:pPr>
            <w:r>
              <w:rPr>
                <w:rFonts w:ascii="Inter" w:hAnsi="Inter" w:cs="Inter" w:eastAsia="Inter"/>
                <w:b/>
                <w:i w:val="0"/>
                <w:color w:val="201C15"/>
                <w:sz w:val="17"/>
              </w:rPr>
              <w:t>M1 Foundation &amp; Orientation</w:t>
            </w:r>
          </w:p>
        </w:tc>
        <w:tc>
          <w:tcPr>
            <w:tcW w:type="dxa" w:w="468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Vision, values, patient rights, conduct, safety, escalation</w:t>
            </w:r>
          </w:p>
        </w:tc>
        <w:tc>
          <w:tcPr>
            <w:tcW w:type="dxa" w:w="95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1</w:t>
            </w:r>
          </w:p>
        </w:tc>
        <w:tc>
          <w:tcPr>
            <w:tcW w:type="dxa" w:w="1066"/>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3</w:t>
            </w:r>
          </w:p>
        </w:tc>
      </w:tr>
      <w:tr>
        <w:trPr>
          <w:cantSplit/>
        </w:trPr>
        <w:tc>
          <w:tcPr>
            <w:tcW w:type="dxa" w:w="2909"/>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M2 Professional Presence</w:t>
            </w:r>
          </w:p>
        </w:tc>
        <w:tc>
          <w:tcPr>
            <w:tcW w:type="dxa" w:w="468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Grooming, bearing, punctuality, workplace etiquette</w:t>
            </w:r>
          </w:p>
        </w:tc>
        <w:tc>
          <w:tcPr>
            <w:tcW w:type="dxa" w:w="95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2</w:t>
            </w:r>
          </w:p>
        </w:tc>
        <w:tc>
          <w:tcPr>
            <w:tcW w:type="dxa" w:w="1066"/>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2</w:t>
            </w:r>
          </w:p>
        </w:tc>
      </w:tr>
      <w:tr>
        <w:trPr>
          <w:cantSplit/>
        </w:trPr>
        <w:tc>
          <w:tcPr>
            <w:tcW w:type="dxa" w:w="2909"/>
            <w:tcMar>
              <w:top w:w="40" w:type="dxa"/>
              <w:bottom w:w="40" w:type="dxa"/>
              <w:left w:w="90" w:type="dxa"/>
              <w:right w:w="90" w:type="dxa"/>
            </w:tcMar>
          </w:tcPr>
          <w:p>
            <w:pPr>
              <w:spacing w:before="0" w:after="0" w:line="288" w:lineRule="auto"/>
            </w:pPr>
            <w:r>
              <w:rPr>
                <w:rFonts w:ascii="Inter" w:hAnsi="Inter" w:cs="Inter" w:eastAsia="Inter"/>
                <w:b/>
                <w:i w:val="0"/>
                <w:color w:val="201C15"/>
                <w:sz w:val="17"/>
              </w:rPr>
              <w:t>M3 Communication Fundamentals</w:t>
            </w:r>
          </w:p>
        </w:tc>
        <w:tc>
          <w:tcPr>
            <w:tcW w:type="dxa" w:w="468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Verbal and non-verbal, active listening, telephone etiquette</w:t>
            </w:r>
          </w:p>
        </w:tc>
        <w:tc>
          <w:tcPr>
            <w:tcW w:type="dxa" w:w="95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2-3</w:t>
            </w:r>
          </w:p>
        </w:tc>
        <w:tc>
          <w:tcPr>
            <w:tcW w:type="dxa" w:w="1066"/>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4</w:t>
            </w:r>
          </w:p>
        </w:tc>
      </w:tr>
      <w:tr>
        <w:trPr>
          <w:cantSplit/>
        </w:trPr>
        <w:tc>
          <w:tcPr>
            <w:tcW w:type="dxa" w:w="2909"/>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M4 Emotional Intelligence &amp; Empathy</w:t>
            </w:r>
          </w:p>
        </w:tc>
        <w:tc>
          <w:tcPr>
            <w:tcW w:type="dxa" w:w="468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Self-regulation, empathy, patient dignity and privacy</w:t>
            </w:r>
          </w:p>
        </w:tc>
        <w:tc>
          <w:tcPr>
            <w:tcW w:type="dxa" w:w="95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4</w:t>
            </w:r>
          </w:p>
        </w:tc>
        <w:tc>
          <w:tcPr>
            <w:tcW w:type="dxa" w:w="1066"/>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3</w:t>
            </w:r>
          </w:p>
        </w:tc>
      </w:tr>
      <w:tr>
        <w:trPr>
          <w:cantSplit/>
        </w:trPr>
        <w:tc>
          <w:tcPr>
            <w:tcW w:type="dxa" w:w="2909"/>
            <w:tcMar>
              <w:top w:w="40" w:type="dxa"/>
              <w:bottom w:w="40" w:type="dxa"/>
              <w:left w:w="90" w:type="dxa"/>
              <w:right w:w="90" w:type="dxa"/>
            </w:tcMar>
          </w:tcPr>
          <w:p>
            <w:pPr>
              <w:spacing w:before="0" w:after="0" w:line="288" w:lineRule="auto"/>
            </w:pPr>
            <w:r>
              <w:rPr>
                <w:rFonts w:ascii="Inter" w:hAnsi="Inter" w:cs="Inter" w:eastAsia="Inter"/>
                <w:b/>
                <w:i w:val="0"/>
                <w:color w:val="201C15"/>
                <w:sz w:val="17"/>
              </w:rPr>
              <w:t>M5 Patient Experience &amp; Standards</w:t>
            </w:r>
          </w:p>
        </w:tc>
        <w:tc>
          <w:tcPr>
            <w:tcW w:type="dxa" w:w="468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First impressions, guiding, managing expectations and delays</w:t>
            </w:r>
          </w:p>
        </w:tc>
        <w:tc>
          <w:tcPr>
            <w:tcW w:type="dxa" w:w="95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5-6</w:t>
            </w:r>
          </w:p>
        </w:tc>
        <w:tc>
          <w:tcPr>
            <w:tcW w:type="dxa" w:w="1066"/>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4</w:t>
            </w:r>
          </w:p>
        </w:tc>
      </w:tr>
      <w:tr>
        <w:trPr>
          <w:cantSplit/>
        </w:trPr>
        <w:tc>
          <w:tcPr>
            <w:tcW w:type="dxa" w:w="2909"/>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M6 The Patient Journey</w:t>
            </w:r>
          </w:p>
        </w:tc>
        <w:tc>
          <w:tcPr>
            <w:tcW w:type="dxa" w:w="468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Enquiry to discharge, touchpoint by touchpoint, by role</w:t>
            </w:r>
          </w:p>
        </w:tc>
        <w:tc>
          <w:tcPr>
            <w:tcW w:type="dxa" w:w="95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6-7</w:t>
            </w:r>
          </w:p>
        </w:tc>
        <w:tc>
          <w:tcPr>
            <w:tcW w:type="dxa" w:w="1066"/>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4</w:t>
            </w:r>
          </w:p>
        </w:tc>
      </w:tr>
      <w:tr>
        <w:trPr>
          <w:cantSplit/>
        </w:trPr>
        <w:tc>
          <w:tcPr>
            <w:tcW w:type="dxa" w:w="2909"/>
            <w:tcMar>
              <w:top w:w="40" w:type="dxa"/>
              <w:bottom w:w="40" w:type="dxa"/>
              <w:left w:w="90" w:type="dxa"/>
              <w:right w:w="90" w:type="dxa"/>
            </w:tcMar>
          </w:tcPr>
          <w:p>
            <w:pPr>
              <w:spacing w:before="0" w:after="0" w:line="288" w:lineRule="auto"/>
            </w:pPr>
            <w:r>
              <w:rPr>
                <w:rFonts w:ascii="Inter" w:hAnsi="Inter" w:cs="Inter" w:eastAsia="Inter"/>
                <w:b/>
                <w:i w:val="0"/>
                <w:color w:val="201C15"/>
                <w:sz w:val="17"/>
              </w:rPr>
              <w:t>M7 Difficult Situations &amp; Recovery</w:t>
            </w:r>
          </w:p>
        </w:tc>
        <w:tc>
          <w:tcPr>
            <w:tcW w:type="dxa" w:w="468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Difficult news, complaints, service recovery, de-escalation</w:t>
            </w:r>
          </w:p>
        </w:tc>
        <w:tc>
          <w:tcPr>
            <w:tcW w:type="dxa" w:w="95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7-9</w:t>
            </w:r>
          </w:p>
        </w:tc>
        <w:tc>
          <w:tcPr>
            <w:tcW w:type="dxa" w:w="1066"/>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5</w:t>
            </w:r>
          </w:p>
        </w:tc>
      </w:tr>
      <w:tr>
        <w:trPr>
          <w:cantSplit/>
        </w:trPr>
        <w:tc>
          <w:tcPr>
            <w:tcW w:type="dxa" w:w="2909"/>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M8 Personal Effectiveness &amp; Resilience</w:t>
            </w:r>
          </w:p>
        </w:tc>
        <w:tc>
          <w:tcPr>
            <w:tcW w:type="dxa" w:w="468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Stress, compassion fatigue, priorities, accountability</w:t>
            </w:r>
          </w:p>
        </w:tc>
        <w:tc>
          <w:tcPr>
            <w:tcW w:type="dxa" w:w="95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9</w:t>
            </w:r>
          </w:p>
        </w:tc>
        <w:tc>
          <w:tcPr>
            <w:tcW w:type="dxa" w:w="1066"/>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2</w:t>
            </w:r>
          </w:p>
        </w:tc>
      </w:tr>
      <w:tr>
        <w:trPr>
          <w:cantSplit/>
        </w:trPr>
        <w:tc>
          <w:tcPr>
            <w:tcW w:type="dxa" w:w="2909"/>
            <w:tcMar>
              <w:top w:w="40" w:type="dxa"/>
              <w:bottom w:w="40" w:type="dxa"/>
              <w:left w:w="90" w:type="dxa"/>
              <w:right w:w="90" w:type="dxa"/>
            </w:tcMar>
          </w:tcPr>
          <w:p>
            <w:pPr>
              <w:spacing w:before="0" w:after="0" w:line="288" w:lineRule="auto"/>
            </w:pPr>
            <w:r>
              <w:rPr>
                <w:rFonts w:ascii="Inter" w:hAnsi="Inter" w:cs="Inter" w:eastAsia="Inter"/>
                <w:b/>
                <w:i w:val="0"/>
                <w:color w:val="201C15"/>
                <w:sz w:val="17"/>
              </w:rPr>
              <w:t>M9 Teamwork &amp; Coordination</w:t>
            </w:r>
          </w:p>
        </w:tc>
        <w:tc>
          <w:tcPr>
            <w:tcW w:type="dxa" w:w="468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Handovers, internal-customer mindset, escalation discipline</w:t>
            </w:r>
          </w:p>
        </w:tc>
        <w:tc>
          <w:tcPr>
            <w:tcW w:type="dxa" w:w="95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10</w:t>
            </w:r>
          </w:p>
        </w:tc>
        <w:tc>
          <w:tcPr>
            <w:tcW w:type="dxa" w:w="1066"/>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3</w:t>
            </w:r>
          </w:p>
        </w:tc>
      </w:tr>
      <w:tr>
        <w:trPr>
          <w:cantSplit/>
        </w:trPr>
        <w:tc>
          <w:tcPr>
            <w:tcW w:type="dxa" w:w="2909"/>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M10 Leadership &amp; Supervisory</w:t>
            </w:r>
          </w:p>
        </w:tc>
        <w:tc>
          <w:tcPr>
            <w:tcW w:type="dxa" w:w="468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Huddles, coaching, feedback, conflict, underperformance</w:t>
            </w:r>
          </w:p>
        </w:tc>
        <w:tc>
          <w:tcPr>
            <w:tcW w:type="dxa" w:w="95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11-12</w:t>
            </w:r>
          </w:p>
        </w:tc>
        <w:tc>
          <w:tcPr>
            <w:tcW w:type="dxa" w:w="1066"/>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4</w:t>
            </w:r>
          </w:p>
        </w:tc>
      </w:tr>
      <w:tr>
        <w:trPr>
          <w:cantSplit/>
        </w:trPr>
        <w:tc>
          <w:tcPr>
            <w:tcW w:type="dxa" w:w="2909"/>
            <w:tcMar>
              <w:top w:w="40" w:type="dxa"/>
              <w:bottom w:w="40" w:type="dxa"/>
              <w:left w:w="90" w:type="dxa"/>
              <w:right w:w="90" w:type="dxa"/>
            </w:tcMar>
          </w:tcPr>
          <w:p>
            <w:pPr>
              <w:spacing w:before="0" w:after="0" w:line="288" w:lineRule="auto"/>
            </w:pPr>
            <w:r>
              <w:rPr>
                <w:rFonts w:ascii="Inter" w:hAnsi="Inter" w:cs="Inter" w:eastAsia="Inter"/>
                <w:b/>
                <w:i w:val="0"/>
                <w:color w:val="201C15"/>
                <w:sz w:val="17"/>
              </w:rPr>
              <w:t>M11 Train-the-Trainer</w:t>
            </w:r>
          </w:p>
        </w:tc>
        <w:tc>
          <w:tcPr>
            <w:tcW w:type="dxa" w:w="468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Adult learning, facilitation, assessment, reinforcement</w:t>
            </w:r>
          </w:p>
        </w:tc>
        <w:tc>
          <w:tcPr>
            <w:tcW w:type="dxa" w:w="950"/>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12-13</w:t>
            </w:r>
          </w:p>
        </w:tc>
        <w:tc>
          <w:tcPr>
            <w:tcW w:type="dxa" w:w="1066"/>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3</w:t>
            </w:r>
          </w:p>
        </w:tc>
      </w:tr>
      <w:tr>
        <w:trPr>
          <w:cantSplit/>
        </w:trPr>
        <w:tc>
          <w:tcPr>
            <w:tcW w:type="dxa" w:w="2909"/>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M12 Consolidation &amp; Review</w:t>
            </w:r>
          </w:p>
        </w:tc>
        <w:tc>
          <w:tcPr>
            <w:tcW w:type="dxa" w:w="468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Post-assessment, dashboard, management review</w:t>
            </w:r>
          </w:p>
        </w:tc>
        <w:tc>
          <w:tcPr>
            <w:tcW w:type="dxa" w:w="950"/>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13</w:t>
            </w:r>
          </w:p>
        </w:tc>
        <w:tc>
          <w:tcPr>
            <w:tcW w:type="dxa" w:w="1066"/>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2</w:t>
            </w:r>
          </w:p>
        </w:tc>
      </w:tr>
      <w:tr>
        <w:trPr>
          <w:cantSplit/>
        </w:trPr>
        <w:tc>
          <w:tcPr>
            <w:tcW w:type="dxa" w:w="2909"/>
            <w:tcMar>
              <w:top w:w="40" w:type="dxa"/>
              <w:bottom w:w="40" w:type="dxa"/>
              <w:left w:w="90" w:type="dxa"/>
              <w:right w:w="90" w:type="dxa"/>
            </w:tcMar>
            <w:shd w:val="clear" w:color="auto" w:fill="F1EDE2"/>
          </w:tcPr>
          <w:p>
            <w:pPr>
              <w:spacing w:before="0" w:after="0" w:line="288" w:lineRule="auto"/>
            </w:pPr>
            <w:r>
              <w:rPr>
                <w:rFonts w:ascii="Inter" w:hAnsi="Inter" w:cs="Inter" w:eastAsia="Inter"/>
                <w:b/>
                <w:i w:val="0"/>
                <w:color w:val="201C15"/>
                <w:sz w:val="17"/>
              </w:rPr>
              <w:t>Total</w:t>
            </w:r>
          </w:p>
        </w:tc>
        <w:tc>
          <w:tcPr>
            <w:tcW w:type="dxa" w:w="4680"/>
            <w:tcMar>
              <w:top w:w="40" w:type="dxa"/>
              <w:bottom w:w="40" w:type="dxa"/>
              <w:left w:w="90" w:type="dxa"/>
              <w:right w:w="90" w:type="dxa"/>
            </w:tcMar>
            <w:shd w:val="clear" w:color="auto" w:fill="F1EDE2"/>
          </w:tcPr>
          <w:p>
            <w:pPr>
              <w:spacing w:before="0" w:after="0" w:line="288" w:lineRule="auto"/>
            </w:pPr>
            <w:r>
              <w:rPr>
                <w:rFonts w:ascii="Inter" w:hAnsi="Inter" w:cs="Inter" w:eastAsia="Inter"/>
                <w:b/>
                <w:i w:val="0"/>
                <w:color w:val="201C15"/>
                <w:sz w:val="17"/>
              </w:rPr>
              <w:t>13 weeks, 3 per week</w:t>
            </w:r>
          </w:p>
        </w:tc>
        <w:tc>
          <w:tcPr>
            <w:tcW w:type="dxa" w:w="950"/>
            <w:tcMar>
              <w:top w:w="40" w:type="dxa"/>
              <w:bottom w:w="40" w:type="dxa"/>
              <w:left w:w="90" w:type="dxa"/>
              <w:right w:w="90" w:type="dxa"/>
            </w:tcMar>
            <w:shd w:val="clear" w:color="auto" w:fill="F1EDE2"/>
          </w:tcPr>
          <w:p>
            <w:pPr>
              <w:spacing w:before="0" w:after="0" w:line="288" w:lineRule="auto"/>
            </w:pPr>
            <w:r>
              <w:rPr>
                <w:rFonts w:ascii="Inter" w:hAnsi="Inter" w:cs="Inter" w:eastAsia="Inter"/>
                <w:b/>
                <w:i w:val="0"/>
                <w:color w:val="201C15"/>
                <w:sz w:val="17"/>
              </w:rPr>
              <w:t>1-13</w:t>
            </w:r>
          </w:p>
        </w:tc>
        <w:tc>
          <w:tcPr>
            <w:tcW w:type="dxa" w:w="1066"/>
            <w:tcMar>
              <w:top w:w="40" w:type="dxa"/>
              <w:bottom w:w="40" w:type="dxa"/>
              <w:left w:w="90" w:type="dxa"/>
              <w:right w:w="90" w:type="dxa"/>
            </w:tcMar>
            <w:shd w:val="clear" w:color="auto" w:fill="F1EDE2"/>
          </w:tcPr>
          <w:p>
            <w:pPr>
              <w:spacing w:before="0" w:after="0" w:line="288" w:lineRule="auto"/>
            </w:pPr>
            <w:r>
              <w:rPr>
                <w:rFonts w:ascii="Inter" w:hAnsi="Inter" w:cs="Inter" w:eastAsia="Inter"/>
                <w:b/>
                <w:i w:val="0"/>
                <w:color w:val="201C15"/>
                <w:sz w:val="17"/>
              </w:rPr>
              <w:t>39</w:t>
            </w:r>
          </w:p>
        </w:tc>
      </w:tr>
    </w:tbl>
    <w:p>
      <w:pPr>
        <w:spacing w:before="0" w:after="120"/>
      </w:pPr>
      <w:r>
        <w:rPr>
          <w:rFonts w:ascii="Inter" w:hAnsi="Inter" w:cs="Inter" w:eastAsia="Inter"/>
          <w:b w:val="0"/>
          <w:i w:val="0"/>
          <w:color w:val="201C15"/>
          <w:sz w:val="2"/>
        </w:rPr>
      </w:r>
    </w:p>
    <w:p>
      <w:pPr>
        <w:spacing w:before="0" w:after="110" w:line="300" w:lineRule="auto"/>
        <w:jc w:val="both"/>
      </w:pPr>
      <w:r>
        <w:rPr>
          <w:rFonts w:ascii="Inter" w:hAnsi="Inter" w:cs="Inter" w:eastAsia="Inter"/>
          <w:b w:val="0"/>
          <w:i w:val="0"/>
          <w:color w:val="555149"/>
          <w:sz w:val="19"/>
        </w:rPr>
        <w:t>Weeks 1 to 10 run frontline and staff batches, with supervisors attending alongside their own teams rather than in a separate senior run. Weeks 11 and 12 take the supervisory and leadership cohort, Weeks 12 and 13 the internal-trainer group. Induction is built during Diagnose and Design and delivered to each new-joiner cohort as they arrive, so it is a standing track rather than a calendar week.</w:t>
      </w:r>
    </w:p>
    <w:p>
      <w:pPr>
        <w:keepNext/>
        <w:spacing w:before="160" w:after="70"/>
      </w:pPr>
      <w:r>
        <w:rPr>
          <w:rFonts w:ascii="Playfair Display" w:hAnsi="Playfair Display" w:cs="Playfair Display" w:eastAsia="Playfair Display"/>
          <w:b/>
          <w:i w:val="0"/>
          <w:color w:val="B08930"/>
          <w:sz w:val="17"/>
        </w:rPr>
        <w:t xml:space="preserve">04   </w:t>
      </w:r>
      <w:r>
        <w:rPr>
          <w:rFonts w:ascii="Inter" w:hAnsi="Inter" w:cs="Inter" w:eastAsia="Inter"/>
          <w:b/>
          <w:i w:val="0"/>
          <w:color w:val="937425"/>
          <w:sz w:val="14"/>
          <w:spacing w:val="44"/>
        </w:rPr>
        <w:t>OUTCOMES BY ROLE</w:t>
      </w:r>
    </w:p>
    <w:p>
      <w:pPr>
        <w:keepNext/>
        <w:spacing w:before="0" w:after="120" w:line="269" w:lineRule="auto"/>
      </w:pPr>
      <w:r>
        <w:rPr>
          <w:rFonts w:ascii="Playfair Display" w:hAnsi="Playfair Display" w:cs="Playfair Display" w:eastAsia="Playfair Display"/>
          <w:b/>
          <w:i w:val="0"/>
          <w:color w:val="201C15"/>
          <w:sz w:val="28"/>
        </w:rPr>
        <w:t>What Each Group Takes Away</w:t>
      </w:r>
    </w:p>
    <w:p>
      <w:pPr>
        <w:spacing w:before="0" w:after="140" w:line="300" w:lineRule="auto"/>
        <w:jc w:val="both"/>
      </w:pPr>
      <w:r>
        <w:rPr>
          <w:rFonts w:ascii="Inter" w:hAnsi="Inter" w:cs="Inter" w:eastAsia="Inter"/>
          <w:b w:val="0"/>
          <w:i w:val="0"/>
          <w:color w:val="4A4233"/>
          <w:sz w:val="20"/>
        </w:rPr>
        <w:t>Every group takes the foundation modules; M6 is allocated by role, M10 is for supervisors and department heads, M11 for the nominated internal trainers.</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2044"/>
        <w:gridCol w:w="3916"/>
        <w:gridCol w:w="3643"/>
      </w:tblGrid>
      <w:tr>
        <w:trPr>
          <w:tblHeader/>
          <w:cantSplit/>
        </w:trPr>
        <w:tc>
          <w:tcPr>
            <w:tcW w:type="dxa" w:w="2045"/>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ROLE GROUP</w:t>
            </w:r>
          </w:p>
        </w:tc>
        <w:tc>
          <w:tcPr>
            <w:tcW w:type="dxa" w:w="3917"/>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WHAT THEY GAIN</w:t>
            </w:r>
          </w:p>
        </w:tc>
        <w:tc>
          <w:tcPr>
            <w:tcW w:type="dxa" w:w="3643"/>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WHAT THEY KEEP</w:t>
            </w:r>
          </w:p>
        </w:tc>
      </w:tr>
      <w:tr>
        <w:trPr>
          <w:cantSplit/>
        </w:trPr>
        <w:tc>
          <w:tcPr>
            <w:tcW w:type="dxa" w:w="2045"/>
            <w:tcMar>
              <w:top w:w="40" w:type="dxa"/>
              <w:bottom w:w="40" w:type="dxa"/>
              <w:left w:w="90" w:type="dxa"/>
              <w:right w:w="90" w:type="dxa"/>
            </w:tcMar>
          </w:tcPr>
          <w:p>
            <w:pPr>
              <w:spacing w:before="0" w:after="0" w:line="288" w:lineRule="auto"/>
            </w:pPr>
            <w:r>
              <w:rPr>
                <w:rFonts w:ascii="Inter" w:hAnsi="Inter" w:cs="Inter" w:eastAsia="Inter"/>
                <w:b/>
                <w:i w:val="0"/>
                <w:color w:val="201C15"/>
                <w:sz w:val="17"/>
              </w:rPr>
              <w:t>Front office and reception</w:t>
            </w:r>
          </w:p>
        </w:tc>
        <w:tc>
          <w:tcPr>
            <w:tcW w:type="dxa" w:w="3917"/>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First-impression protocol, telephone discipline, enquiry handling, waiting-time communication</w:t>
            </w:r>
          </w:p>
        </w:tc>
        <w:tc>
          <w:tcPr>
            <w:tcW w:type="dxa" w:w="3643"/>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Greeting and telephone aid, waiting-time wording, escalation flowchart</w:t>
            </w:r>
          </w:p>
        </w:tc>
      </w:tr>
      <w:tr>
        <w:trPr>
          <w:cantSplit/>
        </w:trPr>
        <w:tc>
          <w:tcPr>
            <w:tcW w:type="dxa" w:w="2045"/>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Patient relations</w:t>
            </w:r>
          </w:p>
        </w:tc>
        <w:tc>
          <w:tcPr>
            <w:tcW w:type="dxa" w:w="3917"/>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Empathy-led enquiry, complaint intake, service recovery, closing the loop with families</w:t>
            </w:r>
          </w:p>
        </w:tc>
        <w:tc>
          <w:tcPr>
            <w:tcW w:type="dxa" w:w="3643"/>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Service-recovery card, complaint and closure log, rounding question set</w:t>
            </w:r>
          </w:p>
        </w:tc>
      </w:tr>
      <w:tr>
        <w:trPr>
          <w:cantSplit/>
        </w:trPr>
        <w:tc>
          <w:tcPr>
            <w:tcW w:type="dxa" w:w="2045"/>
            <w:tcMar>
              <w:top w:w="40" w:type="dxa"/>
              <w:bottom w:w="40" w:type="dxa"/>
              <w:left w:w="90" w:type="dxa"/>
              <w:right w:w="90" w:type="dxa"/>
            </w:tcMar>
          </w:tcPr>
          <w:p>
            <w:pPr>
              <w:spacing w:before="0" w:after="0" w:line="288" w:lineRule="auto"/>
            </w:pPr>
            <w:r>
              <w:rPr>
                <w:rFonts w:ascii="Inter" w:hAnsi="Inter" w:cs="Inter" w:eastAsia="Inter"/>
                <w:b/>
                <w:i w:val="0"/>
                <w:color w:val="201C15"/>
                <w:sz w:val="17"/>
              </w:rPr>
              <w:t>Billing and administration</w:t>
            </w:r>
          </w:p>
        </w:tc>
        <w:tc>
          <w:tcPr>
            <w:tcW w:type="dxa" w:w="3917"/>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Explaining estimates without jargon, financial conversations with distressed families, dispute de-escalation</w:t>
            </w:r>
          </w:p>
        </w:tc>
        <w:tc>
          <w:tcPr>
            <w:tcW w:type="dxa" w:w="3643"/>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Billing-explanation framework, estimate checklist, de-escalation steps</w:t>
            </w:r>
          </w:p>
        </w:tc>
      </w:tr>
      <w:tr>
        <w:trPr>
          <w:cantSplit/>
        </w:trPr>
        <w:tc>
          <w:tcPr>
            <w:tcW w:type="dxa" w:w="2045"/>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Nursing and clinical support</w:t>
            </w:r>
          </w:p>
        </w:tc>
        <w:tc>
          <w:tcPr>
            <w:tcW w:type="dxa" w:w="3917"/>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Bedside courtesy, explaining what happens next, dignity and privacy, handovers, compassion fatigue. Behavioural layer only</w:t>
            </w:r>
          </w:p>
        </w:tc>
        <w:tc>
          <w:tcPr>
            <w:tcW w:type="dxa" w:w="3643"/>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Bedside card, dignity and privacy checklist, handover aid</w:t>
            </w:r>
          </w:p>
        </w:tc>
      </w:tr>
      <w:tr>
        <w:trPr>
          <w:cantSplit/>
        </w:trPr>
        <w:tc>
          <w:tcPr>
            <w:tcW w:type="dxa" w:w="2045"/>
            <w:tcMar>
              <w:top w:w="40" w:type="dxa"/>
              <w:bottom w:w="40" w:type="dxa"/>
              <w:left w:w="90" w:type="dxa"/>
              <w:right w:w="90" w:type="dxa"/>
            </w:tcMar>
          </w:tcPr>
          <w:p>
            <w:pPr>
              <w:spacing w:before="0" w:after="0" w:line="288" w:lineRule="auto"/>
            </w:pPr>
            <w:r>
              <w:rPr>
                <w:rFonts w:ascii="Inter" w:hAnsi="Inter" w:cs="Inter" w:eastAsia="Inter"/>
                <w:b/>
                <w:i w:val="0"/>
                <w:color w:val="201C15"/>
                <w:sz w:val="17"/>
              </w:rPr>
              <w:t>Housekeeping and facility</w:t>
            </w:r>
          </w:p>
        </w:tc>
        <w:tc>
          <w:tcPr>
            <w:tcW w:type="dxa" w:w="3917"/>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Conduct in patient areas, permission before entering, discretion, escalating beyond role</w:t>
            </w:r>
          </w:p>
        </w:tc>
        <w:tc>
          <w:tcPr>
            <w:tcW w:type="dxa" w:w="3643"/>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In-room conduct card, request-and-escalate wording, confidentiality card</w:t>
            </w:r>
          </w:p>
        </w:tc>
      </w:tr>
      <w:tr>
        <w:trPr>
          <w:cantSplit/>
        </w:trPr>
        <w:tc>
          <w:tcPr>
            <w:tcW w:type="dxa" w:w="2045"/>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Security</w:t>
            </w:r>
          </w:p>
        </w:tc>
        <w:tc>
          <w:tcPr>
            <w:tcW w:type="dxa" w:w="3917"/>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Firm but courteous authority, visitor control without confrontation, de-escalating grief and agitation</w:t>
            </w:r>
          </w:p>
        </w:tc>
        <w:tc>
          <w:tcPr>
            <w:tcW w:type="dxa" w:w="3643"/>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De-escalation ladder, gate-side entry wording, incident escalation aid</w:t>
            </w:r>
          </w:p>
        </w:tc>
      </w:tr>
      <w:tr>
        <w:trPr>
          <w:cantSplit/>
        </w:trPr>
        <w:tc>
          <w:tcPr>
            <w:tcW w:type="dxa" w:w="2045"/>
            <w:tcMar>
              <w:top w:w="40" w:type="dxa"/>
              <w:bottom w:w="40" w:type="dxa"/>
              <w:left w:w="90" w:type="dxa"/>
              <w:right w:w="90" w:type="dxa"/>
            </w:tcMar>
          </w:tcPr>
          <w:p>
            <w:pPr>
              <w:spacing w:before="0" w:after="0" w:line="288" w:lineRule="auto"/>
            </w:pPr>
            <w:r>
              <w:rPr>
                <w:rFonts w:ascii="Inter" w:hAnsi="Inter" w:cs="Inter" w:eastAsia="Inter"/>
                <w:b/>
                <w:i w:val="0"/>
                <w:color w:val="201C15"/>
                <w:sz w:val="17"/>
              </w:rPr>
              <w:t>Supervisors and department heads</w:t>
            </w:r>
          </w:p>
        </w:tc>
        <w:tc>
          <w:tcPr>
            <w:tcW w:type="dxa" w:w="3917"/>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Huddles, on-floor observation and coaching, feedback, conflict, underperformance</w:t>
            </w:r>
          </w:p>
        </w:tc>
        <w:tc>
          <w:tcPr>
            <w:tcW w:type="dxa" w:w="3643"/>
            <w:tcMar>
              <w:top w:w="40" w:type="dxa"/>
              <w:bottom w:w="40" w:type="dxa"/>
              <w:left w:w="90" w:type="dxa"/>
              <w:right w:w="90" w:type="dxa"/>
            </w:tcMar>
          </w:tcPr>
          <w:p>
            <w:pPr>
              <w:spacing w:before="0" w:after="0" w:line="288" w:lineRule="auto"/>
            </w:pPr>
            <w:r>
              <w:rPr>
                <w:rFonts w:ascii="Inter" w:hAnsi="Inter" w:cs="Inter" w:eastAsia="Inter"/>
                <w:b w:val="0"/>
                <w:i w:val="0"/>
                <w:color w:val="555149"/>
                <w:sz w:val="17"/>
              </w:rPr>
              <w:t>Huddle template, observation checklists, feedback structure, coaching questions</w:t>
            </w:r>
          </w:p>
        </w:tc>
      </w:tr>
      <w:tr>
        <w:trPr>
          <w:cantSplit/>
        </w:trPr>
        <w:tc>
          <w:tcPr>
            <w:tcW w:type="dxa" w:w="2045"/>
            <w:tcMar>
              <w:top w:w="40" w:type="dxa"/>
              <w:bottom w:w="40" w:type="dxa"/>
              <w:left w:w="90" w:type="dxa"/>
              <w:right w:w="90" w:type="dxa"/>
            </w:tcMar>
            <w:shd w:val="clear" w:color="auto" w:fill="FCFAF5"/>
          </w:tcPr>
          <w:p>
            <w:pPr>
              <w:spacing w:before="0" w:after="0" w:line="288" w:lineRule="auto"/>
            </w:pPr>
            <w:r>
              <w:rPr>
                <w:rFonts w:ascii="Inter" w:hAnsi="Inter" w:cs="Inter" w:eastAsia="Inter"/>
                <w:b/>
                <w:i w:val="0"/>
                <w:color w:val="201C15"/>
                <w:sz w:val="17"/>
              </w:rPr>
              <w:t>Managers and leadership</w:t>
            </w:r>
          </w:p>
        </w:tc>
        <w:tc>
          <w:tcPr>
            <w:tcW w:type="dxa" w:w="3917"/>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Reading the dashboard, linking recurring complaints to capability gaps, governing the calendar</w:t>
            </w:r>
          </w:p>
        </w:tc>
        <w:tc>
          <w:tcPr>
            <w:tcW w:type="dxa" w:w="3643"/>
            <w:tcMar>
              <w:top w:w="40" w:type="dxa"/>
              <w:bottom w:w="40"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Effectiveness dashboard, monthly review pack, gap-to-action framework</w:t>
            </w:r>
          </w:p>
        </w:tc>
      </w:tr>
    </w:tbl>
    <w:p>
      <w:pPr>
        <w:spacing w:before="0" w:after="120"/>
      </w:pPr>
      <w:r>
        <w:rPr>
          <w:rFonts w:ascii="Inter" w:hAnsi="Inter" w:cs="Inter" w:eastAsia="Inter"/>
          <w:b w:val="0"/>
          <w:i w:val="0"/>
          <w:color w:val="201C15"/>
          <w:sz w:val="2"/>
        </w:rPr>
      </w:r>
    </w:p>
    <w:p>
      <w:pPr>
        <w:keepNext/>
        <w:spacing w:before="160" w:after="70"/>
      </w:pPr>
      <w:r>
        <w:rPr>
          <w:rFonts w:ascii="Playfair Display" w:hAnsi="Playfair Display" w:cs="Playfair Display" w:eastAsia="Playfair Display"/>
          <w:b/>
          <w:i w:val="0"/>
          <w:color w:val="B08930"/>
          <w:sz w:val="17"/>
        </w:rPr>
        <w:t xml:space="preserve">05   </w:t>
      </w:r>
      <w:r>
        <w:rPr>
          <w:rFonts w:ascii="Inter" w:hAnsi="Inter" w:cs="Inter" w:eastAsia="Inter"/>
          <w:b/>
          <w:i w:val="0"/>
          <w:color w:val="937425"/>
          <w:sz w:val="14"/>
          <w:spacing w:val="44"/>
        </w:rPr>
        <w:t>APPROACH AND DELIVERY</w:t>
      </w:r>
    </w:p>
    <w:p>
      <w:pPr>
        <w:keepNext/>
        <w:spacing w:before="0" w:after="120" w:line="269" w:lineRule="auto"/>
      </w:pPr>
      <w:r>
        <w:rPr>
          <w:rFonts w:ascii="Playfair Display" w:hAnsi="Playfair Display" w:cs="Playfair Display" w:eastAsia="Playfair Display"/>
          <w:b/>
          <w:i w:val="0"/>
          <w:color w:val="201C15"/>
          <w:sz w:val="28"/>
        </w:rPr>
        <w:t>How It Runs, And What The Hospital Receives</w:t>
      </w:r>
    </w:p>
    <w:p>
      <w:pPr>
        <w:spacing w:before="0" w:after="110" w:line="300" w:lineRule="auto"/>
        <w:jc w:val="both"/>
      </w:pPr>
      <w:r>
        <w:rPr>
          <w:rFonts w:ascii="Inter" w:hAnsi="Inter" w:cs="Inter" w:eastAsia="Inter"/>
          <w:b w:val="0"/>
          <w:i w:val="0"/>
          <w:color w:val="555149"/>
          <w:sz w:val="19"/>
        </w:rPr>
        <w:t>Our five stages are Diagnose, Design, Deliver, Reinforce and Measure. Diagnose opens the engagement through management discussions, departmental inputs, employee observation and review of the anonymised feedback, complaint and audit material the hospital shares. Design customises every module against the hospital's own policies, SOPs and service standards. Reinforce carries job aids to the point of work, supervisor coaching, and short observation visits during live shifts.</w:t>
      </w:r>
    </w:p>
    <w:p>
      <w:pPr>
        <w:spacing w:before="0" w:after="110" w:line="300" w:lineRule="auto"/>
        <w:jc w:val="both"/>
      </w:pPr>
      <w:r>
        <w:rPr>
          <w:rFonts w:ascii="Inter" w:hAnsi="Inter" w:cs="Inter" w:eastAsia="Inter"/>
          <w:b w:val="0"/>
          <w:i w:val="0"/>
          <w:color w:val="555149"/>
          <w:sz w:val="19"/>
        </w:rPr>
        <w:t>Sessions are practical rather than theoretical: workshops, role plays, hospital-based case studies, patient-interaction simulations, scenario discussions, microlearning, on-the-job observation, coaching and pre- and post-training assessments. A four-hour session allows a full cycle of concept, demonstration, practice and feedback, of which 105 minutes are structured practice and a further 25 minutes participant case work. Employees practise how to do it rather than simply being told.</w:t>
      </w:r>
    </w:p>
    <w:p>
      <w:pPr>
        <w:spacing w:before="0" w:after="110" w:line="300" w:lineRule="auto"/>
        <w:jc w:val="both"/>
      </w:pPr>
      <w:r>
        <w:rPr>
          <w:rFonts w:ascii="Inter" w:hAnsi="Inter" w:cs="Inter" w:eastAsia="Inter"/>
          <w:b w:val="0"/>
          <w:i w:val="0"/>
          <w:color w:val="555149"/>
          <w:sz w:val="19"/>
        </w:rPr>
        <w:t>Deliverables across the ninety days:</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Training Needs Analysis report by end of Week 2, competency and skill-gap framework in Week 3, and a training calendar the hospital can extend quarterly</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The induction programme and all twelve customised modules, with facilitator guides, participant materials and role-specific job aids</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Assessment and observation instruments in use from Week 1, consolidated in Week 3</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Attendance records, feedback analysis, monthly training reports, and corrective plans where a standard is not holding</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Management review presentations and a training effectiveness dashboard</w:t>
      </w:r>
    </w:p>
    <w:p>
      <w:pPr>
        <w:spacing w:before="0" w:after="110" w:line="300" w:lineRule="auto"/>
        <w:jc w:val="both"/>
      </w:pPr>
      <w:r>
        <w:rPr>
          <w:rFonts w:ascii="Inter" w:hAnsi="Inter" w:cs="Inter" w:eastAsia="Inter"/>
          <w:b w:val="0"/>
          <w:i w:val="0"/>
          <w:color w:val="555149"/>
          <w:sz w:val="19"/>
        </w:rPr>
        <w:t>Effectiveness is reported at four levels: participation and reaction; knowledge gain through pre- and post-assessment; behavioural change through on-the-job observation against the checklists supervisors use; and organisational indicators. The fourth depends on hospital-held complaint and feedback data, so improvement there cannot be attributed to training alone. We report movement rather than guarantee it.</w:t>
      </w:r>
    </w:p>
    <w:p>
      <w:pPr>
        <w:keepNext/>
        <w:spacing w:before="160" w:after="70"/>
      </w:pPr>
      <w:r>
        <w:rPr>
          <w:rFonts w:ascii="Playfair Display" w:hAnsi="Playfair Display" w:cs="Playfair Display" w:eastAsia="Playfair Display"/>
          <w:b/>
          <w:i w:val="0"/>
          <w:color w:val="B08930"/>
          <w:sz w:val="17"/>
        </w:rPr>
        <w:t xml:space="preserve">06   </w:t>
      </w:r>
      <w:r>
        <w:rPr>
          <w:rFonts w:ascii="Inter" w:hAnsi="Inter" w:cs="Inter" w:eastAsia="Inter"/>
          <w:b/>
          <w:i w:val="0"/>
          <w:color w:val="937425"/>
          <w:sz w:val="14"/>
          <w:spacing w:val="44"/>
        </w:rPr>
        <w:t>WHAT WE NEED, AND IN CLOSING</w:t>
      </w:r>
    </w:p>
    <w:p>
      <w:pPr>
        <w:keepNext/>
        <w:spacing w:before="0" w:after="120" w:line="269" w:lineRule="auto"/>
      </w:pPr>
      <w:r>
        <w:rPr>
          <w:rFonts w:ascii="Playfair Display" w:hAnsi="Playfair Display" w:cs="Playfair Display" w:eastAsia="Playfair Display"/>
          <w:b/>
          <w:i w:val="0"/>
          <w:color w:val="201C15"/>
          <w:sz w:val="28"/>
        </w:rPr>
        <w:t>Developing People Who Care For People</w:t>
      </w:r>
    </w:p>
    <w:p>
      <w:pPr>
        <w:spacing w:before="0" w:after="110" w:line="300" w:lineRule="auto"/>
        <w:jc w:val="both"/>
      </w:pPr>
      <w:r>
        <w:rPr>
          <w:rFonts w:ascii="Inter" w:hAnsi="Inter" w:cs="Inter" w:eastAsia="Inter"/>
          <w:b w:val="0"/>
          <w:i w:val="0"/>
          <w:color w:val="555149"/>
          <w:sz w:val="19"/>
        </w:rPr>
        <w:t>What we would need from the hospital:</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A single point of contact from HR or L&amp;D, and confirmed batch nominations ahead of each module block</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Participants released for the full four hours, and a training room with projection for up to 30</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Access to anonymised patient-feedback and complaint themes for case studies, and permission for on-the-job observation</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Nominated subject-matter experts for clinical, statutory and policy content, plus the hospital's own SOPs and service standards</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The hospital's TAN, the TDS section and rate it will apply, the Form 16A quarterly certificate, and the legal entity name for invoicing</w:t>
      </w:r>
    </w:p>
    <w:p>
      <w:pPr>
        <w:spacing w:before="0" w:after="110" w:line="300" w:lineRule="auto"/>
        <w:jc w:val="both"/>
      </w:pPr>
      <w:r>
        <w:rPr>
          <w:rFonts w:ascii="Inter" w:hAnsi="Inter" w:cs="Inter" w:eastAsia="Inter"/>
          <w:b w:val="0"/>
          <w:i w:val="0"/>
          <w:color w:val="555149"/>
          <w:sz w:val="19"/>
        </w:rPr>
        <w:t>The calendar is confirmed jointly before commencement, and sessions missed for hospital reasons are rescheduled within the engagement window where possible. Hospital data is treated as confidential.</w:t>
      </w:r>
    </w:p>
    <w:p>
      <w:pPr>
        <w:spacing w:before="0" w:after="110" w:line="300" w:lineRule="auto"/>
        <w:jc w:val="both"/>
      </w:pPr>
      <w:r>
        <w:rPr>
          <w:rFonts w:ascii="Inter" w:hAnsi="Inter" w:cs="Inter" w:eastAsia="Inter"/>
          <w:b w:val="0"/>
          <w:i w:val="0"/>
          <w:color w:val="555149"/>
          <w:sz w:val="19"/>
        </w:rPr>
        <w:t>A programme of this kind supports more confident employees, a more consistent patient experience, better complaint handling and service recovery, improved teamwork, stronger accountability, more effective supervisors, and a culture of continuous learning.</w:t>
      </w:r>
    </w:p>
    <w:p>
      <w:pPr>
        <w:spacing w:before="100" w:after="120" w:line="312" w:lineRule="auto"/>
        <w:jc w:val="center"/>
      </w:pPr>
      <w:r>
        <w:rPr>
          <w:rFonts w:ascii="Playfair Display" w:hAnsi="Playfair Display" w:cs="Playfair Display" w:eastAsia="Playfair Display"/>
          <w:b/>
          <w:i/>
          <w:color w:val="B08930"/>
          <w:sz w:val="24"/>
        </w:rPr>
        <w:t>Competent. Compassionate. Confident. Accountable. Patient-First.</w:t>
      </w:r>
    </w:p>
    <w:p>
      <w:pPr>
        <w:spacing w:before="0" w:after="110" w:line="300" w:lineRule="auto"/>
        <w:jc w:val="both"/>
      </w:pPr>
      <w:r>
        <w:rPr>
          <w:rFonts w:ascii="Inter" w:hAnsi="Inter" w:cs="Inter" w:eastAsia="Inter"/>
          <w:b w:val="0"/>
          <w:i w:val="0"/>
          <w:color w:val="555149"/>
          <w:sz w:val="19"/>
        </w:rPr>
        <w:t>Levitatte brings a founder with more than twenty-five years in behavioural, communication and service capability building, grounded in NLP and organisational behavioural psychology, with prior healthcare engagements at Fortis and Cloud9 Hospitals. We would welcome the chance to walk your team through this in person and to adjust the design in light of what you know about your own floors.</w:t>
      </w:r>
    </w:p>
    <w:p>
      <w:pPr>
        <w:spacing w:before="100" w:after="120"/>
      </w:pPr>
      <w:r>
        <w:rPr>
          <w:rFonts w:ascii="Inter" w:hAnsi="Inter" w:cs="Inter" w:eastAsia="Inter"/>
          <w:b/>
          <w:i w:val="0"/>
          <w:color w:val="201C15"/>
          <w:sz w:val="17"/>
          <w:spacing w:val="12"/>
        </w:rPr>
        <w:t>Kavitha Pillai   ·   Managing Director &amp; Head of Training   ·   +91 7411 099 183   ·   kavitha.pillai@levitatte.com   ·   www.levitatte.com</w:t>
      </w:r>
    </w:p>
    <w:p>
      <w:pPr>
        <w:spacing w:before="120" w:after="0" w:line="307" w:lineRule="auto"/>
        <w:ind w:left="230"/>
        <w:pBdr>
          <w:left w:val="single" w:sz="16" w:space="10" w:color="B08930"/>
        </w:pBdr>
      </w:pPr>
      <w:r>
        <w:rPr>
          <w:rFonts w:ascii="Inter" w:hAnsi="Inter" w:cs="Inter" w:eastAsia="Inter"/>
          <w:b/>
          <w:i w:val="0"/>
          <w:color w:val="937425"/>
          <w:sz w:val="13"/>
          <w:spacing w:val="32"/>
        </w:rPr>
        <w:t xml:space="preserve">NOTE   </w:t>
      </w:r>
      <w:r>
        <w:rPr>
          <w:rFonts w:ascii="Inter" w:hAnsi="Inter" w:cs="Inter" w:eastAsia="Inter"/>
          <w:b w:val="0"/>
          <w:i/>
          <w:color w:val="555149"/>
          <w:sz w:val="17"/>
        </w:rPr>
        <w:t>Clinical, statutory and policy-specific training content will be developed or delivered in coordination with authorised hospital representatives and subject-matter experts.</w:t>
      </w:r>
    </w:p>
    <w:sectPr w:rsidR="00FC693F" w:rsidRPr="0006063C" w:rsidSect="00034616">
      <w:footerReference w:type="default" r:id="rId9"/>
      <w:pgSz w:w="11909" w:h="16834"/>
      <w:pgMar w:top="1037" w:right="1152" w:bottom="979" w:left="1152" w:header="720"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73" w:val="right"/>
      </w:tabs>
      <w:spacing w:before="0" w:after="0"/>
      <w:pBdr>
        <w:top w:val="single" w:sz="6" w:space="8" w:color="DDD7C8"/>
      </w:pBdr>
    </w:pPr>
    <w:r/>
    <w:r>
      <w:rPr>
        <w:rFonts w:ascii="Inter" w:hAnsi="Inter" w:cs="Inter" w:eastAsia="Inter"/>
        <w:b w:val="0"/>
        <w:i w:val="0"/>
        <w:color w:val="8A867C"/>
        <w:sz w:val="15"/>
        <w:spacing w:val="4"/>
      </w:rPr>
      <w:t>LEVITATTE LEARNING &amp; DEVELOPMENT     ·     PROPOSAL FOR DR. RELA INSTITUTE &amp; MEDICAL CENTRE</w:t>
    </w:r>
    <w:r>
      <w:tab/>
    </w:r>
    <w:r>
      <w:rPr>
        <w:rFonts w:ascii="Inter" w:hAnsi="Inter" w:cs="Inter" w:eastAsia="Inter"/>
        <w:b w:val="0"/>
        <w:i w:val="0"/>
        <w:color w:val="8A867C"/>
        <w:sz w:val="15"/>
      </w:rPr>
      <w:fldChar w:fldCharType="begin"/>
    </w:r>
    <w:r>
      <w:rPr>
        <w:rFonts w:ascii="Inter" w:hAnsi="Inter" w:cs="Inter" w:eastAsia="Inter"/>
        <w:b w:val="0"/>
        <w:i w:val="0"/>
        <w:color w:val="8A867C"/>
        <w:sz w:val="15"/>
      </w:rPr>
      <w:instrText xml:space="preserve">PAGE</w:instrText>
    </w:r>
    <w:r>
      <w:rPr>
        <w:rFonts w:ascii="Inter" w:hAnsi="Inter" w:cs="Inter" w:eastAsia="Inter"/>
        <w:b w:val="0"/>
        <w:i w:val="0"/>
        <w:color w:val="8A867C"/>
        <w:sz w:val="15"/>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pPr>
    <w:rPr>
      <w:rFonts w:ascii="Inter" w:hAnsi="Inter"/>
      <w:color w:val="55514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