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8F3"/>
  <w:body>
    <w:p>
      <w:pPr>
        <w:spacing w:before="0" w:after="20"/>
        <w:jc w:val="center"/>
      </w:pPr>
      <w:r>
        <w:drawing>
          <wp:inline xmlns:a="http://schemas.openxmlformats.org/drawingml/2006/main" xmlns:pic="http://schemas.openxmlformats.org/drawingml/2006/picture">
            <wp:extent cx="768096" cy="534002"/>
            <wp:docPr id="1" name="Picture 1"/>
            <wp:cNvGraphicFramePr>
              <a:graphicFrameLocks noChangeAspect="1"/>
            </wp:cNvGraphicFramePr>
            <a:graphic>
              <a:graphicData uri="http://schemas.openxmlformats.org/drawingml/2006/picture">
                <pic:pic>
                  <pic:nvPicPr>
                    <pic:cNvPr id="0" name="owl_refined.png"/>
                    <pic:cNvPicPr/>
                  </pic:nvPicPr>
                  <pic:blipFill>
                    <a:blip r:embed="rId10"/>
                    <a:stretch>
                      <a:fillRect/>
                    </a:stretch>
                  </pic:blipFill>
                  <pic:spPr>
                    <a:xfrm>
                      <a:off x="0" y="0"/>
                      <a:ext cx="768096" cy="534002"/>
                    </a:xfrm>
                    <a:prstGeom prst="rect"/>
                  </pic:spPr>
                </pic:pic>
              </a:graphicData>
            </a:graphic>
          </wp:inline>
        </w:drawing>
      </w:r>
    </w:p>
    <w:p>
      <w:pPr>
        <w:spacing w:before="0" w:after="20"/>
        <w:jc w:val="center"/>
      </w:pPr>
      <w:r>
        <w:rPr>
          <w:rFonts w:ascii="Playfair Display" w:hAnsi="Playfair Display" w:cs="Playfair Display" w:eastAsia="Playfair Display"/>
          <w:b/>
          <w:i w:val="0"/>
          <w:color w:val="201C15"/>
          <w:sz w:val="33"/>
          <w:spacing w:val="76"/>
        </w:rPr>
        <w:t>LEVITATTE</w:t>
      </w:r>
    </w:p>
    <w:p>
      <w:pPr>
        <w:spacing w:before="0" w:after="220"/>
        <w:jc w:val="center"/>
      </w:pPr>
      <w:r>
        <w:rPr>
          <w:rFonts w:ascii="Inter" w:hAnsi="Inter" w:cs="Inter" w:eastAsia="Inter"/>
          <w:b/>
          <w:i w:val="0"/>
          <w:color w:val="937425"/>
          <w:sz w:val="13"/>
          <w:spacing w:val="40"/>
        </w:rPr>
        <w:t>LEARNING  &amp;  DEVELOPMENT</w:t>
      </w:r>
    </w:p>
    <w:p>
      <w:pPr>
        <w:spacing w:before="0" w:after="40" w:line="264" w:lineRule="auto"/>
        <w:jc w:val="center"/>
      </w:pPr>
      <w:r>
        <w:rPr>
          <w:rFonts w:ascii="Playfair Display" w:hAnsi="Playfair Display" w:cs="Playfair Display" w:eastAsia="Playfair Display"/>
          <w:b/>
          <w:i w:val="0"/>
          <w:color w:val="201C15"/>
          <w:sz w:val="32"/>
        </w:rPr>
        <w:t>Transforming Hospital Teams.</w:t>
      </w:r>
    </w:p>
    <w:p>
      <w:pPr>
        <w:spacing w:before="0" w:after="40" w:line="264" w:lineRule="auto"/>
        <w:jc w:val="center"/>
      </w:pPr>
      <w:r>
        <w:rPr>
          <w:rFonts w:ascii="Playfair Display" w:hAnsi="Playfair Display" w:cs="Playfair Display" w:eastAsia="Playfair Display"/>
          <w:b/>
          <w:i w:val="0"/>
          <w:color w:val="201C15"/>
          <w:sz w:val="32"/>
        </w:rPr>
        <w:t>Elevating Every Patient Experience.</w:t>
      </w:r>
    </w:p>
    <w:p>
      <w:pPr>
        <w:spacing w:before="100" w:after="60" w:line="300" w:lineRule="auto"/>
        <w:jc w:val="center"/>
      </w:pPr>
      <w:r>
        <w:rPr>
          <w:rFonts w:ascii="Playfair Display" w:hAnsi="Playfair Display" w:cs="Playfair Display" w:eastAsia="Playfair Display"/>
          <w:b w:val="0"/>
          <w:i/>
          <w:color w:val="4A4233"/>
          <w:sz w:val="21"/>
        </w:rPr>
        <w:t>A structured 90-day learning and development programme</w:t>
      </w:r>
    </w:p>
    <w:p>
      <w:pPr>
        <w:spacing w:before="0" w:after="140" w:line="324" w:lineRule="auto"/>
        <w:jc w:val="center"/>
      </w:pPr>
      <w:r>
        <w:rPr>
          <w:rFonts w:ascii="Inter" w:hAnsi="Inter" w:cs="Inter" w:eastAsia="Inter"/>
          <w:b/>
          <w:i w:val="0"/>
          <w:color w:val="937425"/>
          <w:sz w:val="13"/>
          <w:spacing w:val="28"/>
        </w:rPr>
        <w:t>END-TO-END LEARNING &amp; DEVELOPMENT SOLUTIONS FOR HEALTHCARE ORGANISATIONS</w:t>
      </w:r>
    </w:p>
    <w:tbl>
      <w:tblPr>
        <w:tblW w:type="auto" w:w="0"/>
        <w:jc w:val="center"/>
        <w:tblLayout w:type="fixed"/>
        <w:tblLook w:firstColumn="1" w:firstRow="1" w:lastColumn="0" w:lastRow="0" w:noHBand="0" w:noVBand="1" w:val="04A0"/>
        <w:tblBorders>
          <w:top w:val="single" w:sz="6" w:space="0" w:color="DDD7C8"/>
          <w:left w:val="none" w:sz="6" w:space="0" w:color="DDD7C8"/>
          <w:bottom w:val="single" w:sz="6" w:space="0" w:color="DDD7C8"/>
          <w:right w:val="none" w:sz="6" w:space="0" w:color="DDD7C8"/>
          <w:insideH w:val="none" w:sz="6" w:space="0" w:color="DDD7C8"/>
          <w:insideV w:val="none" w:sz="6" w:space="0" w:color="DDD7C8"/>
        </w:tblBorders>
        <w:tblLayout w:type="fixed"/>
      </w:tblPr>
      <w:tblGrid>
        <w:gridCol w:w="7272"/>
        <w:gridCol w:w="2332"/>
      </w:tblGrid>
      <w:tr>
        <w:tc>
          <w:tcPr>
            <w:tcW w:type="dxa" w:w="7272"/>
            <w:tcMar>
              <w:top w:w="80" w:type="dxa"/>
              <w:bottom w:w="80" w:type="dxa"/>
              <w:left w:w="0" w:type="dxa"/>
              <w:right w:w="60" w:type="dxa"/>
            </w:tcMar>
          </w:tcPr>
          <w:p>
            <w:pPr>
              <w:spacing w:before="0" w:after="0" w:line="300" w:lineRule="auto"/>
            </w:pPr>
            <w:r>
              <w:rPr>
                <w:rFonts w:ascii="Inter" w:hAnsi="Inter" w:cs="Inter" w:eastAsia="Inter"/>
                <w:b w:val="0"/>
                <w:i w:val="0"/>
                <w:color w:val="201C15"/>
                <w:sz w:val="17"/>
              </w:rPr>
              <w:t>Prepared for the leadership of Dr. Rela Institute &amp; Medical Centre, Chromepet, Chennai</w:t>
            </w:r>
          </w:p>
        </w:tc>
        <w:tc>
          <w:tcPr>
            <w:tcW w:type="dxa" w:w="2333"/>
            <w:tcMar>
              <w:top w:w="80" w:type="dxa"/>
              <w:bottom w:w="80" w:type="dxa"/>
              <w:left w:w="60" w:type="dxa"/>
              <w:right w:w="60" w:type="dxa"/>
            </w:tcMar>
          </w:tcPr>
          <w:p>
            <w:pPr>
              <w:spacing w:before="0" w:after="0" w:line="300" w:lineRule="auto"/>
              <w:jc w:val="right"/>
            </w:pPr>
            <w:r>
              <w:rPr>
                <w:rFonts w:ascii="Inter" w:hAnsi="Inter" w:cs="Inter" w:eastAsia="Inter"/>
                <w:b/>
                <w:i w:val="0"/>
                <w:color w:val="8A867C"/>
                <w:sz w:val="15"/>
                <w:spacing w:val="26"/>
              </w:rPr>
              <w:t>AUGUST 2026</w:t>
            </w:r>
          </w:p>
        </w:tc>
      </w:tr>
    </w:tbl>
    <w:p>
      <w:pPr>
        <w:spacing w:before="0" w:after="200"/>
      </w:pPr>
      <w:r>
        <w:rPr>
          <w:rFonts w:ascii="Inter" w:hAnsi="Inter" w:cs="Inter" w:eastAsia="Inter"/>
          <w:b w:val="0"/>
          <w:i w:val="0"/>
          <w:color w:val="201C15"/>
          <w:sz w:val="2"/>
        </w:rPr>
      </w:r>
    </w:p>
    <w:p>
      <w:pPr>
        <w:keepNext/>
        <w:spacing w:before="160" w:after="70"/>
      </w:pPr>
      <w:r>
        <w:rPr>
          <w:rFonts w:ascii="Playfair Display" w:hAnsi="Playfair Display" w:cs="Playfair Display" w:eastAsia="Playfair Display"/>
          <w:b/>
          <w:i w:val="0"/>
          <w:color w:val="B08930"/>
          <w:sz w:val="17"/>
        </w:rPr>
        <w:t xml:space="preserve">01   </w:t>
      </w:r>
      <w:r>
        <w:rPr>
          <w:rFonts w:ascii="Inter" w:hAnsi="Inter" w:cs="Inter" w:eastAsia="Inter"/>
          <w:b/>
          <w:i w:val="0"/>
          <w:color w:val="937425"/>
          <w:sz w:val="14"/>
          <w:spacing w:val="44"/>
        </w:rPr>
        <w:t>THE PROPOSITION</w:t>
      </w:r>
    </w:p>
    <w:p>
      <w:pPr>
        <w:keepNext/>
        <w:spacing w:before="0" w:after="120" w:line="269" w:lineRule="auto"/>
      </w:pPr>
      <w:r>
        <w:rPr>
          <w:rFonts w:ascii="Playfair Display" w:hAnsi="Playfair Display" w:cs="Playfair Display" w:eastAsia="Playfair Display"/>
          <w:b/>
          <w:i w:val="0"/>
          <w:color w:val="201C15"/>
          <w:sz w:val="28"/>
        </w:rPr>
        <w:t>Why This Matters</w:t>
      </w:r>
    </w:p>
    <w:p>
      <w:pPr>
        <w:spacing w:before="0" w:after="110" w:line="300" w:lineRule="auto"/>
        <w:jc w:val="both"/>
      </w:pPr>
      <w:r>
        <w:rPr>
          <w:rFonts w:ascii="Inter" w:hAnsi="Inter" w:cs="Inter" w:eastAsia="Inter"/>
          <w:b w:val="0"/>
          <w:i w:val="0"/>
          <w:color w:val="555149"/>
          <w:sz w:val="19"/>
        </w:rPr>
        <w:t>Every patient interaction shapes the reputation of a hospital. From the first telephone call and the registration counter through treatment coordination, billing and discharge, patients and their families expect clarity, compassion, professionalism and confidence.</w:t>
      </w:r>
    </w:p>
    <w:p>
      <w:pPr>
        <w:spacing w:before="0" w:after="110" w:line="300" w:lineRule="auto"/>
        <w:jc w:val="both"/>
      </w:pPr>
      <w:r>
        <w:rPr>
          <w:rFonts w:ascii="Inter" w:hAnsi="Inter" w:cs="Inter" w:eastAsia="Inter"/>
          <w:b w:val="0"/>
          <w:i w:val="0"/>
          <w:color w:val="555149"/>
          <w:sz w:val="19"/>
        </w:rPr>
        <w:t>Across a full episode of care the treating consultant is present for only some of the patient's time in the building. The rest belongs to front office, patient relations, billing, nursing and clinical support, housekeeping and security, who hold the experience together at moments the clinician never sees. Clinical excellence can be concentrated in specialists; the experience of being cared for cannot, because it is assembled touchpoint by touchpoint. That consistency is a capability, and it is trainable.</w:t>
      </w:r>
    </w:p>
    <w:p>
      <w:pPr>
        <w:keepNext/>
        <w:spacing w:before="160" w:after="70"/>
      </w:pPr>
      <w:r>
        <w:rPr>
          <w:rFonts w:ascii="Playfair Display" w:hAnsi="Playfair Display" w:cs="Playfair Display" w:eastAsia="Playfair Display"/>
          <w:b/>
          <w:i w:val="0"/>
          <w:color w:val="B08930"/>
          <w:sz w:val="17"/>
        </w:rPr>
        <w:t xml:space="preserve">02   </w:t>
      </w:r>
      <w:r>
        <w:rPr>
          <w:rFonts w:ascii="Inter" w:hAnsi="Inter" w:cs="Inter" w:eastAsia="Inter"/>
          <w:b/>
          <w:i w:val="0"/>
          <w:color w:val="937425"/>
          <w:sz w:val="14"/>
          <w:spacing w:val="44"/>
        </w:rPr>
        <w:t>COMMERCIAL TERMS</w:t>
      </w:r>
    </w:p>
    <w:p>
      <w:pPr>
        <w:keepNext/>
        <w:spacing w:before="0" w:after="120" w:line="269" w:lineRule="auto"/>
      </w:pPr>
      <w:r>
        <w:rPr>
          <w:rFonts w:ascii="Playfair Display" w:hAnsi="Playfair Display" w:cs="Playfair Display" w:eastAsia="Playfair Display"/>
          <w:b/>
          <w:i w:val="0"/>
          <w:color w:val="201C15"/>
          <w:sz w:val="28"/>
        </w:rPr>
        <w:t>The Engagement At A Glance</w:t>
      </w:r>
    </w:p>
    <w:tbl>
      <w:tblPr>
        <w:tblW w:type="auto" w:w="0"/>
        <w:jc w:val="left"/>
        <w:tblLayout w:type="fixed"/>
        <w:tblLook w:firstColumn="1" w:firstRow="1" w:lastColumn="0" w:lastRow="0" w:noHBand="0" w:noVBand="1" w:val="04A0"/>
        <w:tblBorders>
          <w:top w:val="none" w:sz="6" w:space="0" w:color="DDD7C8"/>
          <w:left w:val="none" w:sz="6" w:space="0" w:color="DDD7C8"/>
          <w:bottom w:val="none" w:sz="6" w:space="0" w:color="DDD7C8"/>
          <w:right w:val="none" w:sz="6" w:space="0" w:color="DDD7C8"/>
          <w:insideH w:val="single" w:sz="6" w:space="0" w:color="DDD7C8"/>
          <w:insideV w:val="none" w:sz="6" w:space="0" w:color="DDD7C8"/>
        </w:tblBorders>
        <w:tblLayout w:type="fixed"/>
      </w:tblPr>
      <w:tblGrid>
        <w:gridCol w:w="2664"/>
        <w:gridCol w:w="6940"/>
      </w:tblGrid>
      <w:tr>
        <w:tc>
          <w:tcPr>
            <w:tcW w:type="dxa" w:w="2664"/>
            <w:tcMar>
              <w:top w:w="62" w:type="dxa"/>
              <w:bottom w:w="62" w:type="dxa"/>
              <w:left w:w="0" w:type="dxa"/>
              <w:right w:w="90" w:type="dxa"/>
            </w:tcMar>
          </w:tcPr>
          <w:p>
            <w:pPr>
              <w:spacing w:before="0" w:after="0" w:line="288" w:lineRule="auto"/>
            </w:pPr>
            <w:r>
              <w:rPr>
                <w:rFonts w:ascii="Inter" w:hAnsi="Inter" w:cs="Inter" w:eastAsia="Inter"/>
                <w:b/>
                <w:i w:val="0"/>
                <w:color w:val="8A867C"/>
                <w:sz w:val="13"/>
                <w:spacing w:val="24"/>
              </w:rPr>
              <w:t>ENGAGEMENT DURATION</w:t>
            </w:r>
          </w:p>
        </w:tc>
        <w:tc>
          <w:tcPr>
            <w:tcW w:type="dxa" w:w="6941"/>
            <w:tcMar>
              <w:top w:w="62" w:type="dxa"/>
              <w:bottom w:w="62" w:type="dxa"/>
              <w:left w:w="90" w:type="dxa"/>
              <w:right w:w="90" w:type="dxa"/>
            </w:tcMar>
          </w:tcPr>
          <w:p>
            <w:pPr>
              <w:spacing w:before="0" w:after="0" w:line="298" w:lineRule="auto"/>
            </w:pPr>
            <w:r>
              <w:rPr>
                <w:rFonts w:ascii="Inter" w:hAnsi="Inter" w:cs="Inter" w:eastAsia="Inter"/>
                <w:b w:val="0"/>
                <w:i w:val="0"/>
                <w:color w:val="201C15"/>
                <w:sz w:val="18"/>
              </w:rPr>
              <w:t>90 days (approximately 13 weeks)</w:t>
            </w:r>
          </w:p>
        </w:tc>
      </w:tr>
      <w:tr>
        <w:tc>
          <w:tcPr>
            <w:tcW w:type="dxa" w:w="2664"/>
            <w:tcMar>
              <w:top w:w="62" w:type="dxa"/>
              <w:bottom w:w="62" w:type="dxa"/>
              <w:left w:w="0" w:type="dxa"/>
              <w:right w:w="90" w:type="dxa"/>
            </w:tcMar>
            <w:shd w:val="clear" w:color="auto" w:fill="FCFAF5"/>
          </w:tcPr>
          <w:p>
            <w:pPr>
              <w:spacing w:before="0" w:after="0" w:line="288" w:lineRule="auto"/>
            </w:pPr>
            <w:r>
              <w:rPr>
                <w:rFonts w:ascii="Inter" w:hAnsi="Inter" w:cs="Inter" w:eastAsia="Inter"/>
                <w:b/>
                <w:i w:val="0"/>
                <w:color w:val="8A867C"/>
                <w:sz w:val="13"/>
                <w:spacing w:val="24"/>
              </w:rPr>
              <w:t>TRAINING DAYS</w:t>
            </w:r>
          </w:p>
        </w:tc>
        <w:tc>
          <w:tcPr>
            <w:tcW w:type="dxa" w:w="6941"/>
            <w:tcMar>
              <w:top w:w="62" w:type="dxa"/>
              <w:bottom w:w="62" w:type="dxa"/>
              <w:left w:w="90" w:type="dxa"/>
              <w:right w:w="90" w:type="dxa"/>
            </w:tcMar>
            <w:shd w:val="clear" w:color="auto" w:fill="FCFAF5"/>
          </w:tcPr>
          <w:p>
            <w:pPr>
              <w:spacing w:before="0" w:after="0" w:line="298" w:lineRule="auto"/>
            </w:pPr>
            <w:r>
              <w:rPr>
                <w:rFonts w:ascii="Inter" w:hAnsi="Inter" w:cs="Inter" w:eastAsia="Inter"/>
                <w:b w:val="0"/>
                <w:i w:val="0"/>
                <w:color w:val="201C15"/>
                <w:sz w:val="18"/>
              </w:rPr>
              <w:t>Every Wednesday, Thursday and Friday</w:t>
            </w:r>
          </w:p>
        </w:tc>
      </w:tr>
      <w:tr>
        <w:tc>
          <w:tcPr>
            <w:tcW w:type="dxa" w:w="2664"/>
            <w:tcMar>
              <w:top w:w="62" w:type="dxa"/>
              <w:bottom w:w="62" w:type="dxa"/>
              <w:left w:w="0" w:type="dxa"/>
              <w:right w:w="90" w:type="dxa"/>
            </w:tcMar>
          </w:tcPr>
          <w:p>
            <w:pPr>
              <w:spacing w:before="0" w:after="0" w:line="288" w:lineRule="auto"/>
            </w:pPr>
            <w:r>
              <w:rPr>
                <w:rFonts w:ascii="Inter" w:hAnsi="Inter" w:cs="Inter" w:eastAsia="Inter"/>
                <w:b/>
                <w:i w:val="0"/>
                <w:color w:val="8A867C"/>
                <w:sz w:val="13"/>
                <w:spacing w:val="24"/>
              </w:rPr>
              <w:t>SESSION DURATION</w:t>
            </w:r>
          </w:p>
        </w:tc>
        <w:tc>
          <w:tcPr>
            <w:tcW w:type="dxa" w:w="6941"/>
            <w:tcMar>
              <w:top w:w="62" w:type="dxa"/>
              <w:bottom w:w="62" w:type="dxa"/>
              <w:left w:w="90" w:type="dxa"/>
              <w:right w:w="90" w:type="dxa"/>
            </w:tcMar>
          </w:tcPr>
          <w:p>
            <w:pPr>
              <w:spacing w:before="0" w:after="0" w:line="298" w:lineRule="auto"/>
            </w:pPr>
            <w:r>
              <w:rPr>
                <w:rFonts w:ascii="Inter" w:hAnsi="Inter" w:cs="Inter" w:eastAsia="Inter"/>
                <w:b w:val="0"/>
                <w:i w:val="0"/>
                <w:color w:val="201C15"/>
                <w:sz w:val="18"/>
              </w:rPr>
              <w:t>4 hours per session</w:t>
            </w:r>
          </w:p>
        </w:tc>
      </w:tr>
      <w:tr>
        <w:tc>
          <w:tcPr>
            <w:tcW w:type="dxa" w:w="2664"/>
            <w:tcMar>
              <w:top w:w="62" w:type="dxa"/>
              <w:bottom w:w="62" w:type="dxa"/>
              <w:left w:w="0" w:type="dxa"/>
              <w:right w:w="90" w:type="dxa"/>
            </w:tcMar>
            <w:shd w:val="clear" w:color="auto" w:fill="FCFAF5"/>
          </w:tcPr>
          <w:p>
            <w:pPr>
              <w:spacing w:before="0" w:after="0" w:line="288" w:lineRule="auto"/>
            </w:pPr>
            <w:r>
              <w:rPr>
                <w:rFonts w:ascii="Inter" w:hAnsi="Inter" w:cs="Inter" w:eastAsia="Inter"/>
                <w:b/>
                <w:i w:val="0"/>
                <w:color w:val="8A867C"/>
                <w:sz w:val="13"/>
                <w:spacing w:val="24"/>
              </w:rPr>
              <w:t>BATCH SIZE</w:t>
            </w:r>
          </w:p>
        </w:tc>
        <w:tc>
          <w:tcPr>
            <w:tcW w:type="dxa" w:w="6941"/>
            <w:tcMar>
              <w:top w:w="62" w:type="dxa"/>
              <w:bottom w:w="62" w:type="dxa"/>
              <w:left w:w="90" w:type="dxa"/>
              <w:right w:w="90" w:type="dxa"/>
            </w:tcMar>
            <w:shd w:val="clear" w:color="auto" w:fill="FCFAF5"/>
          </w:tcPr>
          <w:p>
            <w:pPr>
              <w:spacing w:before="0" w:after="0" w:line="298" w:lineRule="auto"/>
            </w:pPr>
            <w:r>
              <w:rPr>
                <w:rFonts w:ascii="Inter" w:hAnsi="Inter" w:cs="Inter" w:eastAsia="Inter"/>
                <w:b w:val="0"/>
                <w:i w:val="0"/>
                <w:color w:val="201C15"/>
                <w:sz w:val="18"/>
              </w:rPr>
              <w:t>Up to 30 participants per batch</w:t>
            </w:r>
          </w:p>
        </w:tc>
      </w:tr>
      <w:tr>
        <w:tc>
          <w:tcPr>
            <w:tcW w:type="dxa" w:w="2664"/>
            <w:tcMar>
              <w:top w:w="62" w:type="dxa"/>
              <w:bottom w:w="62" w:type="dxa"/>
              <w:left w:w="0" w:type="dxa"/>
              <w:right w:w="90" w:type="dxa"/>
            </w:tcMar>
          </w:tcPr>
          <w:p>
            <w:pPr>
              <w:spacing w:before="0" w:after="0" w:line="288" w:lineRule="auto"/>
            </w:pPr>
            <w:r>
              <w:rPr>
                <w:rFonts w:ascii="Inter" w:hAnsi="Inter" w:cs="Inter" w:eastAsia="Inter"/>
                <w:b/>
                <w:i w:val="0"/>
                <w:color w:val="8A867C"/>
                <w:sz w:val="13"/>
                <w:spacing w:val="24"/>
              </w:rPr>
              <w:t>SESSIONS IN THE ENGAGEMENT</w:t>
            </w:r>
          </w:p>
        </w:tc>
        <w:tc>
          <w:tcPr>
            <w:tcW w:type="dxa" w:w="6941"/>
            <w:tcMar>
              <w:top w:w="62" w:type="dxa"/>
              <w:bottom w:w="62" w:type="dxa"/>
              <w:left w:w="90" w:type="dxa"/>
              <w:right w:w="90" w:type="dxa"/>
            </w:tcMar>
          </w:tcPr>
          <w:p>
            <w:pPr>
              <w:spacing w:before="0" w:after="0" w:line="298" w:lineRule="auto"/>
            </w:pPr>
            <w:r>
              <w:rPr>
                <w:rFonts w:ascii="Inter" w:hAnsi="Inter" w:cs="Inter" w:eastAsia="Inter"/>
                <w:b w:val="0"/>
                <w:i w:val="0"/>
                <w:color w:val="201C15"/>
                <w:sz w:val="18"/>
              </w:rPr>
              <w:t>Up to 39 (36 to 39 subject to start date and hospital holidays)</w:t>
            </w:r>
          </w:p>
        </w:tc>
      </w:tr>
      <w:tr>
        <w:tc>
          <w:tcPr>
            <w:tcW w:type="dxa" w:w="2664"/>
            <w:tcMar>
              <w:top w:w="62" w:type="dxa"/>
              <w:bottom w:w="62" w:type="dxa"/>
              <w:left w:w="0" w:type="dxa"/>
              <w:right w:w="90" w:type="dxa"/>
            </w:tcMar>
            <w:shd w:val="clear" w:color="auto" w:fill="FCFAF5"/>
          </w:tcPr>
          <w:p>
            <w:pPr>
              <w:spacing w:before="0" w:after="0" w:line="288" w:lineRule="auto"/>
            </w:pPr>
            <w:r>
              <w:rPr>
                <w:rFonts w:ascii="Inter" w:hAnsi="Inter" w:cs="Inter" w:eastAsia="Inter"/>
                <w:b/>
                <w:i w:val="0"/>
                <w:color w:val="8A867C"/>
                <w:sz w:val="13"/>
                <w:spacing w:val="24"/>
              </w:rPr>
              <w:t>FACILITATOR-LED HOURS</w:t>
            </w:r>
          </w:p>
        </w:tc>
        <w:tc>
          <w:tcPr>
            <w:tcW w:type="dxa" w:w="6941"/>
            <w:tcMar>
              <w:top w:w="62" w:type="dxa"/>
              <w:bottom w:w="62" w:type="dxa"/>
              <w:left w:w="90" w:type="dxa"/>
              <w:right w:w="90" w:type="dxa"/>
            </w:tcMar>
            <w:shd w:val="clear" w:color="auto" w:fill="FCFAF5"/>
          </w:tcPr>
          <w:p>
            <w:pPr>
              <w:spacing w:before="0" w:after="0" w:line="298" w:lineRule="auto"/>
            </w:pPr>
            <w:r>
              <w:rPr>
                <w:rFonts w:ascii="Inter" w:hAnsi="Inter" w:cs="Inter" w:eastAsia="Inter"/>
                <w:b w:val="0"/>
                <w:i w:val="0"/>
                <w:color w:val="201C15"/>
                <w:sz w:val="18"/>
              </w:rPr>
              <w:t>Up to 156 hours (144 to 156)</w:t>
            </w:r>
          </w:p>
        </w:tc>
      </w:tr>
      <w:tr>
        <w:tc>
          <w:tcPr>
            <w:tcW w:type="dxa" w:w="2664"/>
            <w:tcMar>
              <w:top w:w="62" w:type="dxa"/>
              <w:bottom w:w="62" w:type="dxa"/>
              <w:left w:w="0" w:type="dxa"/>
              <w:right w:w="90" w:type="dxa"/>
            </w:tcMar>
          </w:tcPr>
          <w:p>
            <w:pPr>
              <w:spacing w:before="0" w:after="0" w:line="288" w:lineRule="auto"/>
            </w:pPr>
            <w:r>
              <w:rPr>
                <w:rFonts w:ascii="Inter" w:hAnsi="Inter" w:cs="Inter" w:eastAsia="Inter"/>
                <w:b/>
                <w:i w:val="0"/>
                <w:color w:val="8A867C"/>
                <w:sz w:val="13"/>
                <w:spacing w:val="24"/>
              </w:rPr>
              <w:t>PROFESSIONAL FEE</w:t>
            </w:r>
          </w:p>
        </w:tc>
        <w:tc>
          <w:tcPr>
            <w:tcW w:type="dxa" w:w="6941"/>
            <w:tcMar>
              <w:top w:w="62" w:type="dxa"/>
              <w:bottom w:w="62" w:type="dxa"/>
              <w:left w:w="90" w:type="dxa"/>
              <w:right w:w="90" w:type="dxa"/>
            </w:tcMar>
          </w:tcPr>
          <w:p>
            <w:pPr>
              <w:spacing w:before="0" w:after="0" w:line="298" w:lineRule="auto"/>
            </w:pPr>
            <w:r>
              <w:rPr>
                <w:rFonts w:ascii="Inter" w:hAnsi="Inter" w:cs="Inter" w:eastAsia="Inter"/>
                <w:b w:val="0"/>
                <w:i w:val="0"/>
                <w:color w:val="201C15"/>
                <w:sz w:val="18"/>
              </w:rPr>
              <w:t>Rs 1,50,000 per month, fixed and inclusive of tax deducted at source</w:t>
            </w:r>
          </w:p>
        </w:tc>
      </w:tr>
      <w:tr>
        <w:tc>
          <w:tcPr>
            <w:tcW w:type="dxa" w:w="2664"/>
            <w:tcMar>
              <w:top w:w="62" w:type="dxa"/>
              <w:bottom w:w="62" w:type="dxa"/>
              <w:left w:w="0" w:type="dxa"/>
              <w:right w:w="90" w:type="dxa"/>
            </w:tcMar>
            <w:shd w:val="clear" w:color="auto" w:fill="FCFAF5"/>
          </w:tcPr>
          <w:p>
            <w:pPr>
              <w:spacing w:before="0" w:after="0" w:line="288" w:lineRule="auto"/>
            </w:pPr>
            <w:r>
              <w:rPr>
                <w:rFonts w:ascii="Inter" w:hAnsi="Inter" w:cs="Inter" w:eastAsia="Inter"/>
                <w:b/>
                <w:i w:val="0"/>
                <w:color w:val="8A867C"/>
                <w:sz w:val="13"/>
                <w:spacing w:val="24"/>
              </w:rPr>
              <w:t>GST</w:t>
            </w:r>
          </w:p>
        </w:tc>
        <w:tc>
          <w:tcPr>
            <w:tcW w:type="dxa" w:w="6941"/>
            <w:tcMar>
              <w:top w:w="62" w:type="dxa"/>
              <w:bottom w:w="62" w:type="dxa"/>
              <w:left w:w="90" w:type="dxa"/>
              <w:right w:w="90" w:type="dxa"/>
            </w:tcMar>
            <w:shd w:val="clear" w:color="auto" w:fill="FCFAF5"/>
          </w:tcPr>
          <w:p>
            <w:pPr>
              <w:spacing w:before="0" w:after="0" w:line="298" w:lineRule="auto"/>
            </w:pPr>
            <w:r>
              <w:rPr>
                <w:rFonts w:ascii="Inter" w:hAnsi="Inter" w:cs="Inter" w:eastAsia="Inter"/>
                <w:b w:val="0"/>
                <w:i w:val="0"/>
                <w:color w:val="201C15"/>
                <w:sz w:val="18"/>
              </w:rPr>
              <w:t>As applicable, additional</w:t>
            </w:r>
          </w:p>
        </w:tc>
      </w:tr>
      <w:tr>
        <w:tc>
          <w:tcPr>
            <w:tcW w:type="dxa" w:w="2664"/>
            <w:tcMar>
              <w:top w:w="62" w:type="dxa"/>
              <w:bottom w:w="62" w:type="dxa"/>
              <w:left w:w="0" w:type="dxa"/>
              <w:right w:w="90" w:type="dxa"/>
            </w:tcMar>
          </w:tcPr>
          <w:p>
            <w:pPr>
              <w:spacing w:before="0" w:after="0" w:line="288" w:lineRule="auto"/>
            </w:pPr>
            <w:r>
              <w:rPr>
                <w:rFonts w:ascii="Inter" w:hAnsi="Inter" w:cs="Inter" w:eastAsia="Inter"/>
                <w:b/>
                <w:i w:val="0"/>
                <w:color w:val="8A867C"/>
                <w:sz w:val="13"/>
                <w:spacing w:val="24"/>
              </w:rPr>
              <w:t>TOTAL ENGAGEMENT VALUE</w:t>
            </w:r>
          </w:p>
        </w:tc>
        <w:tc>
          <w:tcPr>
            <w:tcW w:type="dxa" w:w="6941"/>
            <w:tcMar>
              <w:top w:w="62" w:type="dxa"/>
              <w:bottom w:w="62" w:type="dxa"/>
              <w:left w:w="90" w:type="dxa"/>
              <w:right w:w="90" w:type="dxa"/>
            </w:tcMar>
          </w:tcPr>
          <w:p>
            <w:pPr>
              <w:spacing w:before="0" w:after="0" w:line="298" w:lineRule="auto"/>
            </w:pPr>
            <w:r>
              <w:rPr>
                <w:rFonts w:ascii="Inter" w:hAnsi="Inter" w:cs="Inter" w:eastAsia="Inter"/>
                <w:b w:val="0"/>
                <w:i w:val="0"/>
                <w:color w:val="201C15"/>
                <w:sz w:val="18"/>
              </w:rPr>
              <w:t>Rs 4,50,000 for 90 days, excluding GST</w:t>
            </w:r>
          </w:p>
        </w:tc>
      </w:tr>
    </w:tbl>
    <w:p>
      <w:pPr>
        <w:spacing w:before="0" w:after="120"/>
      </w:pPr>
      <w:r>
        <w:rPr>
          <w:rFonts w:ascii="Inter" w:hAnsi="Inter" w:cs="Inter" w:eastAsia="Inter"/>
          <w:b w:val="0"/>
          <w:i w:val="0"/>
          <w:color w:val="201C15"/>
          <w:sz w:val="2"/>
        </w:rPr>
      </w:r>
    </w:p>
    <w:tbl>
      <w:tblPr>
        <w:tblW w:type="auto" w:w="0"/>
        <w:jc w:val="left"/>
        <w:tblLayout w:type="fixed"/>
        <w:tblLook w:firstColumn="1" w:firstRow="1" w:lastColumn="0" w:lastRow="0" w:noHBand="0" w:noVBand="1" w:val="04A0"/>
        <w:tblBorders>
          <w:top w:val="none" w:sz="6" w:space="0" w:color="DDD7C8"/>
          <w:left w:val="none" w:sz="6" w:space="0" w:color="DDD7C8"/>
          <w:bottom w:val="none" w:sz="6" w:space="0" w:color="DDD7C8"/>
          <w:right w:val="none" w:sz="6" w:space="0" w:color="DDD7C8"/>
          <w:insideH w:val="single" w:sz="6" w:space="0" w:color="DDD7C8"/>
          <w:insideV w:val="none" w:sz="6" w:space="0" w:color="DDD7C8"/>
        </w:tblBorders>
        <w:tblLayout w:type="fixed"/>
      </w:tblPr>
      <w:tblGrid>
        <w:gridCol w:w="2044"/>
        <w:gridCol w:w="3916"/>
        <w:gridCol w:w="3643"/>
      </w:tblGrid>
      <w:tr>
        <w:trPr>
          <w:tblHeader/>
          <w:cantSplit/>
        </w:trPr>
        <w:tc>
          <w:tcPr>
            <w:tcW w:type="dxa" w:w="2045"/>
            <w:shd w:val="clear" w:color="auto" w:fill="F1EDE2"/>
            <w:tcMar>
              <w:top w:w="70" w:type="dxa"/>
              <w:bottom w:w="70" w:type="dxa"/>
              <w:left w:w="90" w:type="dxa"/>
              <w:right w:w="90" w:type="dxa"/>
            </w:tcMar>
          </w:tcPr>
          <w:p>
            <w:pPr>
              <w:spacing w:before="0" w:after="0"/>
            </w:pPr>
            <w:r>
              <w:rPr>
                <w:rFonts w:ascii="Inter" w:hAnsi="Inter" w:cs="Inter" w:eastAsia="Inter"/>
                <w:b/>
                <w:i w:val="0"/>
                <w:color w:val="937425"/>
                <w:sz w:val="13"/>
                <w:spacing w:val="26"/>
              </w:rPr>
              <w:t>ITEM</w:t>
            </w:r>
          </w:p>
        </w:tc>
        <w:tc>
          <w:tcPr>
            <w:tcW w:type="dxa" w:w="3917"/>
            <w:shd w:val="clear" w:color="auto" w:fill="F1EDE2"/>
            <w:tcMar>
              <w:top w:w="70" w:type="dxa"/>
              <w:bottom w:w="70" w:type="dxa"/>
              <w:left w:w="90" w:type="dxa"/>
              <w:right w:w="90" w:type="dxa"/>
            </w:tcMar>
          </w:tcPr>
          <w:p>
            <w:pPr>
              <w:spacing w:before="0" w:after="0"/>
            </w:pPr>
            <w:r>
              <w:rPr>
                <w:rFonts w:ascii="Inter" w:hAnsi="Inter" w:cs="Inter" w:eastAsia="Inter"/>
                <w:b/>
                <w:i w:val="0"/>
                <w:color w:val="937425"/>
                <w:sz w:val="13"/>
                <w:spacing w:val="26"/>
              </w:rPr>
              <w:t>PER MONTH</w:t>
            </w:r>
          </w:p>
        </w:tc>
        <w:tc>
          <w:tcPr>
            <w:tcW w:type="dxa" w:w="3643"/>
            <w:shd w:val="clear" w:color="auto" w:fill="F1EDE2"/>
            <w:tcMar>
              <w:top w:w="70" w:type="dxa"/>
              <w:bottom w:w="70" w:type="dxa"/>
              <w:left w:w="90" w:type="dxa"/>
              <w:right w:w="90" w:type="dxa"/>
            </w:tcMar>
          </w:tcPr>
          <w:p>
            <w:pPr>
              <w:spacing w:before="0" w:after="0"/>
            </w:pPr>
            <w:r>
              <w:rPr>
                <w:rFonts w:ascii="Inter" w:hAnsi="Inter" w:cs="Inter" w:eastAsia="Inter"/>
                <w:b/>
                <w:i w:val="0"/>
                <w:color w:val="937425"/>
                <w:sz w:val="13"/>
                <w:spacing w:val="26"/>
              </w:rPr>
              <w:t>ACROSS 90 DAYS</w:t>
            </w:r>
          </w:p>
        </w:tc>
      </w:tr>
      <w:tr>
        <w:trPr>
          <w:cantSplit/>
        </w:trPr>
        <w:tc>
          <w:tcPr>
            <w:tcW w:type="dxa" w:w="2045"/>
            <w:tcMar>
              <w:top w:w="40" w:type="dxa"/>
              <w:bottom w:w="40" w:type="dxa"/>
              <w:left w:w="90" w:type="dxa"/>
              <w:right w:w="90" w:type="dxa"/>
            </w:tcMar>
          </w:tcPr>
          <w:p>
            <w:pPr>
              <w:spacing w:before="0" w:after="0" w:line="288" w:lineRule="auto"/>
            </w:pPr>
            <w:r>
              <w:rPr>
                <w:rFonts w:ascii="Inter" w:hAnsi="Inter" w:cs="Inter" w:eastAsia="Inter"/>
                <w:b/>
                <w:i w:val="0"/>
                <w:color w:val="201C15"/>
                <w:sz w:val="17"/>
              </w:rPr>
              <w:t>Professional fee (gross, contracted)</w:t>
            </w:r>
          </w:p>
        </w:tc>
        <w:tc>
          <w:tcPr>
            <w:tcW w:type="dxa" w:w="3917"/>
            <w:tcMar>
              <w:top w:w="40" w:type="dxa"/>
              <w:bottom w:w="40" w:type="dxa"/>
              <w:left w:w="90" w:type="dxa"/>
              <w:right w:w="90" w:type="dxa"/>
            </w:tcMar>
          </w:tcPr>
          <w:p>
            <w:pPr>
              <w:spacing w:before="0" w:after="0" w:line="288" w:lineRule="auto"/>
            </w:pPr>
            <w:r>
              <w:rPr>
                <w:rFonts w:ascii="Inter" w:hAnsi="Inter" w:cs="Inter" w:eastAsia="Inter"/>
                <w:b w:val="0"/>
                <w:i w:val="0"/>
                <w:color w:val="555149"/>
                <w:sz w:val="17"/>
              </w:rPr>
              <w:t>Rs 1,50,000</w:t>
            </w:r>
          </w:p>
        </w:tc>
        <w:tc>
          <w:tcPr>
            <w:tcW w:type="dxa" w:w="3643"/>
            <w:tcMar>
              <w:top w:w="40" w:type="dxa"/>
              <w:bottom w:w="40" w:type="dxa"/>
              <w:left w:w="90" w:type="dxa"/>
              <w:right w:w="90" w:type="dxa"/>
            </w:tcMar>
          </w:tcPr>
          <w:p>
            <w:pPr>
              <w:spacing w:before="0" w:after="0" w:line="288" w:lineRule="auto"/>
            </w:pPr>
            <w:r>
              <w:rPr>
                <w:rFonts w:ascii="Inter" w:hAnsi="Inter" w:cs="Inter" w:eastAsia="Inter"/>
                <w:b w:val="0"/>
                <w:i w:val="0"/>
                <w:color w:val="555149"/>
                <w:sz w:val="17"/>
              </w:rPr>
              <w:t>Rs 4,50,000</w:t>
            </w:r>
          </w:p>
        </w:tc>
      </w:tr>
      <w:tr>
        <w:trPr>
          <w:cantSplit/>
        </w:trPr>
        <w:tc>
          <w:tcPr>
            <w:tcW w:type="dxa" w:w="2045"/>
            <w:tcMar>
              <w:top w:w="40" w:type="dxa"/>
              <w:bottom w:w="40" w:type="dxa"/>
              <w:left w:w="90" w:type="dxa"/>
              <w:right w:w="90" w:type="dxa"/>
            </w:tcMar>
            <w:shd w:val="clear" w:color="auto" w:fill="FCFAF5"/>
          </w:tcPr>
          <w:p>
            <w:pPr>
              <w:spacing w:before="0" w:after="0" w:line="288" w:lineRule="auto"/>
            </w:pPr>
            <w:r>
              <w:rPr>
                <w:rFonts w:ascii="Inter" w:hAnsi="Inter" w:cs="Inter" w:eastAsia="Inter"/>
                <w:b/>
                <w:i w:val="0"/>
                <w:color w:val="201C15"/>
                <w:sz w:val="17"/>
              </w:rPr>
              <w:t>Less tax deducted at source at 10%</w:t>
            </w:r>
          </w:p>
        </w:tc>
        <w:tc>
          <w:tcPr>
            <w:tcW w:type="dxa" w:w="3917"/>
            <w:tcMar>
              <w:top w:w="40" w:type="dxa"/>
              <w:bottom w:w="40" w:type="dxa"/>
              <w:left w:w="90" w:type="dxa"/>
              <w:right w:w="90" w:type="dxa"/>
            </w:tcMar>
            <w:shd w:val="clear" w:color="auto" w:fill="FCFAF5"/>
          </w:tcPr>
          <w:p>
            <w:pPr>
              <w:spacing w:before="0" w:after="0" w:line="288" w:lineRule="auto"/>
            </w:pPr>
            <w:r>
              <w:rPr>
                <w:rFonts w:ascii="Inter" w:hAnsi="Inter" w:cs="Inter" w:eastAsia="Inter"/>
                <w:b w:val="0"/>
                <w:i w:val="0"/>
                <w:color w:val="555149"/>
                <w:sz w:val="17"/>
              </w:rPr>
              <w:t>(Rs 15,000)</w:t>
            </w:r>
          </w:p>
        </w:tc>
        <w:tc>
          <w:tcPr>
            <w:tcW w:type="dxa" w:w="3643"/>
            <w:tcMar>
              <w:top w:w="40" w:type="dxa"/>
              <w:bottom w:w="40" w:type="dxa"/>
              <w:left w:w="90" w:type="dxa"/>
              <w:right w:w="90" w:type="dxa"/>
            </w:tcMar>
            <w:shd w:val="clear" w:color="auto" w:fill="FCFAF5"/>
          </w:tcPr>
          <w:p>
            <w:pPr>
              <w:spacing w:before="0" w:after="0" w:line="288" w:lineRule="auto"/>
            </w:pPr>
            <w:r>
              <w:rPr>
                <w:rFonts w:ascii="Inter" w:hAnsi="Inter" w:cs="Inter" w:eastAsia="Inter"/>
                <w:b w:val="0"/>
                <w:i w:val="0"/>
                <w:color w:val="555149"/>
                <w:sz w:val="17"/>
              </w:rPr>
              <w:t>(Rs 45,000)</w:t>
            </w:r>
          </w:p>
        </w:tc>
      </w:tr>
      <w:tr>
        <w:trPr>
          <w:cantSplit/>
        </w:trPr>
        <w:tc>
          <w:tcPr>
            <w:tcW w:type="dxa" w:w="2045"/>
            <w:tcMar>
              <w:top w:w="40" w:type="dxa"/>
              <w:bottom w:w="40" w:type="dxa"/>
              <w:left w:w="90" w:type="dxa"/>
              <w:right w:w="90" w:type="dxa"/>
            </w:tcMar>
          </w:tcPr>
          <w:p>
            <w:pPr>
              <w:spacing w:before="0" w:after="0" w:line="288" w:lineRule="auto"/>
            </w:pPr>
            <w:r>
              <w:rPr>
                <w:rFonts w:ascii="Inter" w:hAnsi="Inter" w:cs="Inter" w:eastAsia="Inter"/>
                <w:b/>
                <w:i w:val="0"/>
                <w:color w:val="201C15"/>
                <w:sz w:val="17"/>
              </w:rPr>
              <w:t>Payable to Levitatte</w:t>
            </w:r>
          </w:p>
        </w:tc>
        <w:tc>
          <w:tcPr>
            <w:tcW w:type="dxa" w:w="3917"/>
            <w:tcMar>
              <w:top w:w="40" w:type="dxa"/>
              <w:bottom w:w="40" w:type="dxa"/>
              <w:left w:w="90" w:type="dxa"/>
              <w:right w:w="90" w:type="dxa"/>
            </w:tcMar>
          </w:tcPr>
          <w:p>
            <w:pPr>
              <w:spacing w:before="0" w:after="0" w:line="288" w:lineRule="auto"/>
            </w:pPr>
            <w:r>
              <w:rPr>
                <w:rFonts w:ascii="Inter" w:hAnsi="Inter" w:cs="Inter" w:eastAsia="Inter"/>
                <w:b w:val="0"/>
                <w:i w:val="0"/>
                <w:color w:val="555149"/>
                <w:sz w:val="17"/>
              </w:rPr>
              <w:t>Rs 1,35,000</w:t>
            </w:r>
          </w:p>
        </w:tc>
        <w:tc>
          <w:tcPr>
            <w:tcW w:type="dxa" w:w="3643"/>
            <w:tcMar>
              <w:top w:w="40" w:type="dxa"/>
              <w:bottom w:w="40" w:type="dxa"/>
              <w:left w:w="90" w:type="dxa"/>
              <w:right w:w="90" w:type="dxa"/>
            </w:tcMar>
          </w:tcPr>
          <w:p>
            <w:pPr>
              <w:spacing w:before="0" w:after="0" w:line="288" w:lineRule="auto"/>
            </w:pPr>
            <w:r>
              <w:rPr>
                <w:rFonts w:ascii="Inter" w:hAnsi="Inter" w:cs="Inter" w:eastAsia="Inter"/>
                <w:b w:val="0"/>
                <w:i w:val="0"/>
                <w:color w:val="555149"/>
                <w:sz w:val="17"/>
              </w:rPr>
              <w:t>Rs 4,05,000</w:t>
            </w:r>
          </w:p>
        </w:tc>
      </w:tr>
    </w:tbl>
    <w:p>
      <w:pPr>
        <w:spacing w:before="0" w:after="120"/>
      </w:pPr>
      <w:r>
        <w:rPr>
          <w:rFonts w:ascii="Inter" w:hAnsi="Inter" w:cs="Inter" w:eastAsia="Inter"/>
          <w:b w:val="0"/>
          <w:i w:val="0"/>
          <w:color w:val="201C15"/>
          <w:sz w:val="2"/>
        </w:rPr>
      </w:r>
    </w:p>
    <w:p>
      <w:pPr>
        <w:spacing w:before="0" w:after="110" w:line="300" w:lineRule="auto"/>
        <w:jc w:val="both"/>
      </w:pPr>
      <w:r>
        <w:rPr>
          <w:rFonts w:ascii="Inter" w:hAnsi="Inter" w:cs="Inter" w:eastAsia="Inter"/>
          <w:b w:val="0"/>
          <w:i w:val="0"/>
          <w:color w:val="555149"/>
          <w:sz w:val="19"/>
        </w:rPr>
        <w:t>The fee is inclusive of tax deducted at source: the hospital deducts TDS from each monthly invoice and deposits it against Levitatte's PAN, so the amount remitted is the fee net of that deduction. It is not a reduction in the agreed fee and not a cost to the hospital, but income tax paid in advance on Levitatte's behalf and claimed back as credit. Deduction is expected at 10% under section 194J of the Income-tax Act, 1961, applied to the fee and not to GST, so GST does not change what Levitatte retains. The hospital confirms the section and rate, so the figures above are illustrative. Invoices are raised monthly in arrears, with the Form 16A certificate issued quarterly.</w:t>
      </w:r>
    </w:p>
    <w:p>
      <w:pPr>
        <w:spacing w:before="0" w:after="110" w:line="300" w:lineRule="auto"/>
        <w:jc w:val="both"/>
      </w:pPr>
      <w:r>
        <w:rPr>
          <w:rFonts w:ascii="Inter" w:hAnsi="Inter" w:cs="Inter" w:eastAsia="Inter"/>
          <w:b w:val="0"/>
          <w:i w:val="0"/>
          <w:color w:val="555149"/>
          <w:sz w:val="19"/>
        </w:rPr>
        <w:t>The fee is one fixed monthly charge, not a per-session or per-participant rate, so the cost is known at the outset and does not rise as more people are nominated. It covers the diagnose stage, design and customisation of all twelve modules and the induction programme, facilitation, guides, materials and job aids, assessments, observation, records, monthly reporting and management reviews. On the gross fee that is about Rs 2,900 per facilitator-led hour, or about Rs 96 per participant-training-hour across 4,680 participant-hours; at 36 sessions, about Rs 3,125 and Rs 104.</w:t>
      </w:r>
    </w:p>
    <w:p>
      <w:pPr>
        <w:keepNext/>
        <w:spacing w:before="160" w:after="70"/>
      </w:pPr>
      <w:r>
        <w:rPr>
          <w:rFonts w:ascii="Playfair Display" w:hAnsi="Playfair Display" w:cs="Playfair Display" w:eastAsia="Playfair Display"/>
          <w:b/>
          <w:i w:val="0"/>
          <w:color w:val="B08930"/>
          <w:sz w:val="17"/>
        </w:rPr>
        <w:t xml:space="preserve">03   </w:t>
      </w:r>
      <w:r>
        <w:rPr>
          <w:rFonts w:ascii="Inter" w:hAnsi="Inter" w:cs="Inter" w:eastAsia="Inter"/>
          <w:b/>
          <w:i w:val="0"/>
          <w:color w:val="937425"/>
          <w:sz w:val="14"/>
          <w:spacing w:val="44"/>
        </w:rPr>
        <w:t>CURRICULUM</w:t>
      </w:r>
    </w:p>
    <w:p>
      <w:pPr>
        <w:keepNext/>
        <w:spacing w:before="0" w:after="120" w:line="269" w:lineRule="auto"/>
      </w:pPr>
      <w:r>
        <w:rPr>
          <w:rFonts w:ascii="Playfair Display" w:hAnsi="Playfair Display" w:cs="Playfair Display" w:eastAsia="Playfair Display"/>
          <w:b/>
          <w:i w:val="0"/>
          <w:color w:val="201C15"/>
          <w:sz w:val="28"/>
        </w:rPr>
        <w:t>The Twelve Modules, And Why In This Order</w:t>
      </w:r>
    </w:p>
    <w:p>
      <w:pPr>
        <w:spacing w:before="0" w:after="140" w:line="300" w:lineRule="auto"/>
        <w:jc w:val="both"/>
      </w:pPr>
      <w:r>
        <w:rPr>
          <w:rFonts w:ascii="Inter" w:hAnsi="Inter" w:cs="Inter" w:eastAsia="Inter"/>
          <w:b w:val="0"/>
          <w:i w:val="0"/>
          <w:color w:val="4A4233"/>
          <w:sz w:val="20"/>
        </w:rPr>
        <w:t>The sequence runs from awareness to self, then to tools, inner capability, application, complexity, sustainability and finally multiplication. Three placements are deliberate.</w:t>
      </w:r>
    </w:p>
    <w:p>
      <w:pPr>
        <w:tabs>
          <w:tab w:pos="403" w:val="left"/>
        </w:tabs>
        <w:spacing w:before="0" w:after="80" w:line="314" w:lineRule="auto"/>
        <w:ind w:left="403" w:hanging="403"/>
      </w:pPr>
      <w:r>
        <w:rPr>
          <w:rFonts w:ascii="Inter" w:hAnsi="Inter" w:cs="Inter" w:eastAsia="Inter"/>
          <w:b/>
          <w:i w:val="0"/>
          <w:color w:val="B08930"/>
          <w:sz w:val="19"/>
        </w:rPr>
        <w:t>–</w:t>
      </w:r>
      <w:r>
        <w:rPr>
          <w:rFonts w:ascii="Inter" w:hAnsi="Inter" w:cs="Inter" w:eastAsia="Inter"/>
          <w:b w:val="0"/>
          <w:i w:val="0"/>
          <w:color w:val="555149"/>
          <w:sz w:val="19"/>
        </w:rPr>
        <w:tab/>
      </w:r>
      <w:r>
        <w:rPr>
          <w:rFonts w:ascii="Inter" w:hAnsi="Inter" w:cs="Inter" w:eastAsia="Inter"/>
          <w:b/>
          <w:i w:val="0"/>
          <w:color w:val="201C15"/>
          <w:sz w:val="19"/>
        </w:rPr>
        <w:t>Professional presence early:</w:t>
      </w:r>
      <w:r>
        <w:rPr>
          <w:rFonts w:ascii="Inter" w:hAnsi="Inter" w:cs="Inter" w:eastAsia="Inter"/>
          <w:b w:val="0"/>
          <w:i w:val="0"/>
          <w:color w:val="555149"/>
          <w:sz w:val="19"/>
        </w:rPr>
        <w:t xml:space="preserve"> the patient judges before a word is spoken, and it is the quickest change to become visible, which earns the programme credibility for the harder work that follows.</w:t>
      </w:r>
    </w:p>
    <w:p>
      <w:pPr>
        <w:tabs>
          <w:tab w:pos="403" w:val="left"/>
        </w:tabs>
        <w:spacing w:before="0" w:after="80" w:line="314" w:lineRule="auto"/>
        <w:ind w:left="403" w:hanging="403"/>
      </w:pPr>
      <w:r>
        <w:rPr>
          <w:rFonts w:ascii="Inter" w:hAnsi="Inter" w:cs="Inter" w:eastAsia="Inter"/>
          <w:b/>
          <w:i w:val="0"/>
          <w:color w:val="B08930"/>
          <w:sz w:val="19"/>
        </w:rPr>
        <w:t>–</w:t>
      </w:r>
      <w:r>
        <w:rPr>
          <w:rFonts w:ascii="Inter" w:hAnsi="Inter" w:cs="Inter" w:eastAsia="Inter"/>
          <w:b w:val="0"/>
          <w:i w:val="0"/>
          <w:color w:val="555149"/>
          <w:sz w:val="19"/>
        </w:rPr>
        <w:tab/>
      </w:r>
      <w:r>
        <w:rPr>
          <w:rFonts w:ascii="Inter" w:hAnsi="Inter" w:cs="Inter" w:eastAsia="Inter"/>
          <w:b/>
          <w:i w:val="0"/>
          <w:color w:val="201C15"/>
          <w:sz w:val="19"/>
        </w:rPr>
        <w:t>Difficult situations late, resilience straight after:</w:t>
      </w:r>
      <w:r>
        <w:rPr>
          <w:rFonts w:ascii="Inter" w:hAnsi="Inter" w:cs="Inter" w:eastAsia="Inter"/>
          <w:b w:val="0"/>
          <w:i w:val="0"/>
          <w:color w:val="555149"/>
          <w:sz w:val="19"/>
        </w:rPr>
        <w:t xml:space="preserve"> de-escalation depends on active listening, emotional regulation and agreed standards already being in place. Teaching complaint handling first is the most common design error.</w:t>
      </w:r>
    </w:p>
    <w:p>
      <w:pPr>
        <w:tabs>
          <w:tab w:pos="403" w:val="left"/>
        </w:tabs>
        <w:spacing w:before="0" w:after="80" w:line="314" w:lineRule="auto"/>
        <w:ind w:left="403" w:hanging="403"/>
      </w:pPr>
      <w:r>
        <w:rPr>
          <w:rFonts w:ascii="Inter" w:hAnsi="Inter" w:cs="Inter" w:eastAsia="Inter"/>
          <w:b/>
          <w:i w:val="0"/>
          <w:color w:val="B08930"/>
          <w:sz w:val="19"/>
        </w:rPr>
        <w:t>–</w:t>
      </w:r>
      <w:r>
        <w:rPr>
          <w:rFonts w:ascii="Inter" w:hAnsi="Inter" w:cs="Inter" w:eastAsia="Inter"/>
          <w:b w:val="0"/>
          <w:i w:val="0"/>
          <w:color w:val="555149"/>
          <w:sz w:val="19"/>
        </w:rPr>
        <w:tab/>
      </w:r>
      <w:r>
        <w:rPr>
          <w:rFonts w:ascii="Inter" w:hAnsi="Inter" w:cs="Inter" w:eastAsia="Inter"/>
          <w:b/>
          <w:i w:val="0"/>
          <w:color w:val="201C15"/>
          <w:sz w:val="19"/>
        </w:rPr>
        <w:t>Supervisors after their teams, Train-the-Trainer last:</w:t>
      </w:r>
      <w:r>
        <w:rPr>
          <w:rFonts w:ascii="Inter" w:hAnsi="Inter" w:cs="Inter" w:eastAsia="Inter"/>
          <w:b w:val="0"/>
          <w:i w:val="0"/>
          <w:color w:val="555149"/>
          <w:sz w:val="19"/>
        </w:rPr>
        <w:t xml:space="preserve"> a supervisor cannot reinforce a standard they did not sit through. Trained staff returning to untrained supervisors regress.</w:t>
      </w:r>
    </w:p>
    <w:tbl>
      <w:tblPr>
        <w:tblW w:type="auto" w:w="0"/>
        <w:jc w:val="left"/>
        <w:tblLayout w:type="fixed"/>
        <w:tblLook w:firstColumn="1" w:firstRow="1" w:lastColumn="0" w:lastRow="0" w:noHBand="0" w:noVBand="1" w:val="04A0"/>
        <w:tblBorders>
          <w:top w:val="none" w:sz="6" w:space="0" w:color="DDD7C8"/>
          <w:left w:val="none" w:sz="6" w:space="0" w:color="DDD7C8"/>
          <w:bottom w:val="none" w:sz="6" w:space="0" w:color="DDD7C8"/>
          <w:right w:val="none" w:sz="6" w:space="0" w:color="DDD7C8"/>
          <w:insideH w:val="single" w:sz="6" w:space="0" w:color="DDD7C8"/>
          <w:insideV w:val="none" w:sz="6" w:space="0" w:color="DDD7C8"/>
        </w:tblBorders>
        <w:tblLayout w:type="fixed"/>
      </w:tblPr>
      <w:tblGrid>
        <w:gridCol w:w="2908"/>
        <w:gridCol w:w="4680"/>
        <w:gridCol w:w="950"/>
        <w:gridCol w:w="1065"/>
      </w:tblGrid>
      <w:tr>
        <w:trPr>
          <w:tblHeader/>
          <w:cantSplit/>
        </w:trPr>
        <w:tc>
          <w:tcPr>
            <w:tcW w:type="dxa" w:w="2909"/>
            <w:shd w:val="clear" w:color="auto" w:fill="F1EDE2"/>
            <w:tcMar>
              <w:top w:w="70" w:type="dxa"/>
              <w:bottom w:w="70" w:type="dxa"/>
              <w:left w:w="90" w:type="dxa"/>
              <w:right w:w="90" w:type="dxa"/>
            </w:tcMar>
          </w:tcPr>
          <w:p>
            <w:pPr>
              <w:spacing w:before="0" w:after="0"/>
            </w:pPr>
            <w:r>
              <w:rPr>
                <w:rFonts w:ascii="Inter" w:hAnsi="Inter" w:cs="Inter" w:eastAsia="Inter"/>
                <w:b/>
                <w:i w:val="0"/>
                <w:color w:val="937425"/>
                <w:sz w:val="13"/>
                <w:spacing w:val="26"/>
              </w:rPr>
              <w:t>MODULE</w:t>
            </w:r>
          </w:p>
        </w:tc>
        <w:tc>
          <w:tcPr>
            <w:tcW w:type="dxa" w:w="4680"/>
            <w:shd w:val="clear" w:color="auto" w:fill="F1EDE2"/>
            <w:tcMar>
              <w:top w:w="70" w:type="dxa"/>
              <w:bottom w:w="70" w:type="dxa"/>
              <w:left w:w="90" w:type="dxa"/>
              <w:right w:w="90" w:type="dxa"/>
            </w:tcMar>
          </w:tcPr>
          <w:p>
            <w:pPr>
              <w:spacing w:before="0" w:after="0"/>
            </w:pPr>
            <w:r>
              <w:rPr>
                <w:rFonts w:ascii="Inter" w:hAnsi="Inter" w:cs="Inter" w:eastAsia="Inter"/>
                <w:b/>
                <w:i w:val="0"/>
                <w:color w:val="937425"/>
                <w:sz w:val="13"/>
                <w:spacing w:val="26"/>
              </w:rPr>
              <w:t>FOCUS</w:t>
            </w:r>
          </w:p>
        </w:tc>
        <w:tc>
          <w:tcPr>
            <w:tcW w:type="dxa" w:w="950"/>
            <w:shd w:val="clear" w:color="auto" w:fill="F1EDE2"/>
            <w:tcMar>
              <w:top w:w="70" w:type="dxa"/>
              <w:bottom w:w="70" w:type="dxa"/>
              <w:left w:w="90" w:type="dxa"/>
              <w:right w:w="90" w:type="dxa"/>
            </w:tcMar>
          </w:tcPr>
          <w:p>
            <w:pPr>
              <w:spacing w:before="0" w:after="0"/>
            </w:pPr>
            <w:r>
              <w:rPr>
                <w:rFonts w:ascii="Inter" w:hAnsi="Inter" w:cs="Inter" w:eastAsia="Inter"/>
                <w:b/>
                <w:i w:val="0"/>
                <w:color w:val="937425"/>
                <w:sz w:val="13"/>
                <w:spacing w:val="26"/>
              </w:rPr>
              <w:t>WEEKS</w:t>
            </w:r>
          </w:p>
        </w:tc>
        <w:tc>
          <w:tcPr>
            <w:tcW w:type="dxa" w:w="1066"/>
            <w:shd w:val="clear" w:color="auto" w:fill="F1EDE2"/>
            <w:tcMar>
              <w:top w:w="70" w:type="dxa"/>
              <w:bottom w:w="70" w:type="dxa"/>
              <w:left w:w="90" w:type="dxa"/>
              <w:right w:w="90" w:type="dxa"/>
            </w:tcMar>
          </w:tcPr>
          <w:p>
            <w:pPr>
              <w:spacing w:before="0" w:after="0"/>
            </w:pPr>
            <w:r>
              <w:rPr>
                <w:rFonts w:ascii="Inter" w:hAnsi="Inter" w:cs="Inter" w:eastAsia="Inter"/>
                <w:b/>
                <w:i w:val="0"/>
                <w:color w:val="937425"/>
                <w:sz w:val="13"/>
                <w:spacing w:val="26"/>
              </w:rPr>
              <w:t>SESSIONS</w:t>
            </w:r>
          </w:p>
        </w:tc>
      </w:tr>
      <w:tr>
        <w:trPr>
          <w:cantSplit/>
        </w:trPr>
        <w:tc>
          <w:tcPr>
            <w:tcW w:type="dxa" w:w="2909"/>
            <w:tcMar>
              <w:top w:w="40" w:type="dxa"/>
              <w:bottom w:w="40" w:type="dxa"/>
              <w:left w:w="90" w:type="dxa"/>
              <w:right w:w="90" w:type="dxa"/>
            </w:tcMar>
          </w:tcPr>
          <w:p>
            <w:pPr>
              <w:spacing w:before="0" w:after="0" w:line="288" w:lineRule="auto"/>
            </w:pPr>
            <w:r>
              <w:rPr>
                <w:rFonts w:ascii="Inter" w:hAnsi="Inter" w:cs="Inter" w:eastAsia="Inter"/>
                <w:b/>
                <w:i w:val="0"/>
                <w:color w:val="201C15"/>
                <w:sz w:val="17"/>
              </w:rPr>
              <w:t>M1 Foundation &amp; Orientation</w:t>
            </w:r>
          </w:p>
        </w:tc>
        <w:tc>
          <w:tcPr>
            <w:tcW w:type="dxa" w:w="4680"/>
            <w:tcMar>
              <w:top w:w="40" w:type="dxa"/>
              <w:bottom w:w="40" w:type="dxa"/>
              <w:left w:w="90" w:type="dxa"/>
              <w:right w:w="90" w:type="dxa"/>
            </w:tcMar>
          </w:tcPr>
          <w:p>
            <w:pPr>
              <w:spacing w:before="0" w:after="0" w:line="288" w:lineRule="auto"/>
            </w:pPr>
            <w:r>
              <w:rPr>
                <w:rFonts w:ascii="Inter" w:hAnsi="Inter" w:cs="Inter" w:eastAsia="Inter"/>
                <w:b w:val="0"/>
                <w:i w:val="0"/>
                <w:color w:val="555149"/>
                <w:sz w:val="17"/>
              </w:rPr>
              <w:t>Vision, values, patient rights, conduct, safety, escalation</w:t>
            </w:r>
          </w:p>
        </w:tc>
        <w:tc>
          <w:tcPr>
            <w:tcW w:type="dxa" w:w="950"/>
            <w:tcMar>
              <w:top w:w="40" w:type="dxa"/>
              <w:bottom w:w="40" w:type="dxa"/>
              <w:left w:w="90" w:type="dxa"/>
              <w:right w:w="90" w:type="dxa"/>
            </w:tcMar>
          </w:tcPr>
          <w:p>
            <w:pPr>
              <w:spacing w:before="0" w:after="0" w:line="288" w:lineRule="auto"/>
            </w:pPr>
            <w:r>
              <w:rPr>
                <w:rFonts w:ascii="Inter" w:hAnsi="Inter" w:cs="Inter" w:eastAsia="Inter"/>
                <w:b w:val="0"/>
                <w:i w:val="0"/>
                <w:color w:val="555149"/>
                <w:sz w:val="17"/>
              </w:rPr>
              <w:t>1</w:t>
            </w:r>
          </w:p>
        </w:tc>
        <w:tc>
          <w:tcPr>
            <w:tcW w:type="dxa" w:w="1066"/>
            <w:tcMar>
              <w:top w:w="40" w:type="dxa"/>
              <w:bottom w:w="40" w:type="dxa"/>
              <w:left w:w="90" w:type="dxa"/>
              <w:right w:w="90" w:type="dxa"/>
            </w:tcMar>
          </w:tcPr>
          <w:p>
            <w:pPr>
              <w:spacing w:before="0" w:after="0" w:line="288" w:lineRule="auto"/>
            </w:pPr>
            <w:r>
              <w:rPr>
                <w:rFonts w:ascii="Inter" w:hAnsi="Inter" w:cs="Inter" w:eastAsia="Inter"/>
                <w:b w:val="0"/>
                <w:i w:val="0"/>
                <w:color w:val="555149"/>
                <w:sz w:val="17"/>
              </w:rPr>
              <w:t>3</w:t>
            </w:r>
          </w:p>
        </w:tc>
      </w:tr>
      <w:tr>
        <w:trPr>
          <w:cantSplit/>
        </w:trPr>
        <w:tc>
          <w:tcPr>
            <w:tcW w:type="dxa" w:w="2909"/>
            <w:tcMar>
              <w:top w:w="40" w:type="dxa"/>
              <w:bottom w:w="40" w:type="dxa"/>
              <w:left w:w="90" w:type="dxa"/>
              <w:right w:w="90" w:type="dxa"/>
            </w:tcMar>
            <w:shd w:val="clear" w:color="auto" w:fill="FCFAF5"/>
          </w:tcPr>
          <w:p>
            <w:pPr>
              <w:spacing w:before="0" w:after="0" w:line="288" w:lineRule="auto"/>
            </w:pPr>
            <w:r>
              <w:rPr>
                <w:rFonts w:ascii="Inter" w:hAnsi="Inter" w:cs="Inter" w:eastAsia="Inter"/>
                <w:b/>
                <w:i w:val="0"/>
                <w:color w:val="201C15"/>
                <w:sz w:val="17"/>
              </w:rPr>
              <w:t>M2 Professional Presence</w:t>
            </w:r>
          </w:p>
        </w:tc>
        <w:tc>
          <w:tcPr>
            <w:tcW w:type="dxa" w:w="4680"/>
            <w:tcMar>
              <w:top w:w="40" w:type="dxa"/>
              <w:bottom w:w="40" w:type="dxa"/>
              <w:left w:w="90" w:type="dxa"/>
              <w:right w:w="90" w:type="dxa"/>
            </w:tcMar>
            <w:shd w:val="clear" w:color="auto" w:fill="FCFAF5"/>
          </w:tcPr>
          <w:p>
            <w:pPr>
              <w:spacing w:before="0" w:after="0" w:line="288" w:lineRule="auto"/>
            </w:pPr>
            <w:r>
              <w:rPr>
                <w:rFonts w:ascii="Inter" w:hAnsi="Inter" w:cs="Inter" w:eastAsia="Inter"/>
                <w:b w:val="0"/>
                <w:i w:val="0"/>
                <w:color w:val="555149"/>
                <w:sz w:val="17"/>
              </w:rPr>
              <w:t>Grooming, bearing, punctuality, workplace etiquette</w:t>
            </w:r>
          </w:p>
        </w:tc>
        <w:tc>
          <w:tcPr>
            <w:tcW w:type="dxa" w:w="950"/>
            <w:tcMar>
              <w:top w:w="40" w:type="dxa"/>
              <w:bottom w:w="40" w:type="dxa"/>
              <w:left w:w="90" w:type="dxa"/>
              <w:right w:w="90" w:type="dxa"/>
            </w:tcMar>
            <w:shd w:val="clear" w:color="auto" w:fill="FCFAF5"/>
          </w:tcPr>
          <w:p>
            <w:pPr>
              <w:spacing w:before="0" w:after="0" w:line="288" w:lineRule="auto"/>
            </w:pPr>
            <w:r>
              <w:rPr>
                <w:rFonts w:ascii="Inter" w:hAnsi="Inter" w:cs="Inter" w:eastAsia="Inter"/>
                <w:b w:val="0"/>
                <w:i w:val="0"/>
                <w:color w:val="555149"/>
                <w:sz w:val="17"/>
              </w:rPr>
              <w:t>2</w:t>
            </w:r>
          </w:p>
        </w:tc>
        <w:tc>
          <w:tcPr>
            <w:tcW w:type="dxa" w:w="1066"/>
            <w:tcMar>
              <w:top w:w="40" w:type="dxa"/>
              <w:bottom w:w="40" w:type="dxa"/>
              <w:left w:w="90" w:type="dxa"/>
              <w:right w:w="90" w:type="dxa"/>
            </w:tcMar>
            <w:shd w:val="clear" w:color="auto" w:fill="FCFAF5"/>
          </w:tcPr>
          <w:p>
            <w:pPr>
              <w:spacing w:before="0" w:after="0" w:line="288" w:lineRule="auto"/>
            </w:pPr>
            <w:r>
              <w:rPr>
                <w:rFonts w:ascii="Inter" w:hAnsi="Inter" w:cs="Inter" w:eastAsia="Inter"/>
                <w:b w:val="0"/>
                <w:i w:val="0"/>
                <w:color w:val="555149"/>
                <w:sz w:val="17"/>
              </w:rPr>
              <w:t>2</w:t>
            </w:r>
          </w:p>
        </w:tc>
      </w:tr>
      <w:tr>
        <w:trPr>
          <w:cantSplit/>
        </w:trPr>
        <w:tc>
          <w:tcPr>
            <w:tcW w:type="dxa" w:w="2909"/>
            <w:tcMar>
              <w:top w:w="40" w:type="dxa"/>
              <w:bottom w:w="40" w:type="dxa"/>
              <w:left w:w="90" w:type="dxa"/>
              <w:right w:w="90" w:type="dxa"/>
            </w:tcMar>
          </w:tcPr>
          <w:p>
            <w:pPr>
              <w:spacing w:before="0" w:after="0" w:line="288" w:lineRule="auto"/>
            </w:pPr>
            <w:r>
              <w:rPr>
                <w:rFonts w:ascii="Inter" w:hAnsi="Inter" w:cs="Inter" w:eastAsia="Inter"/>
                <w:b/>
                <w:i w:val="0"/>
                <w:color w:val="201C15"/>
                <w:sz w:val="17"/>
              </w:rPr>
              <w:t>M3 Communication Fundamentals</w:t>
            </w:r>
          </w:p>
        </w:tc>
        <w:tc>
          <w:tcPr>
            <w:tcW w:type="dxa" w:w="4680"/>
            <w:tcMar>
              <w:top w:w="40" w:type="dxa"/>
              <w:bottom w:w="40" w:type="dxa"/>
              <w:left w:w="90" w:type="dxa"/>
              <w:right w:w="90" w:type="dxa"/>
            </w:tcMar>
          </w:tcPr>
          <w:p>
            <w:pPr>
              <w:spacing w:before="0" w:after="0" w:line="288" w:lineRule="auto"/>
            </w:pPr>
            <w:r>
              <w:rPr>
                <w:rFonts w:ascii="Inter" w:hAnsi="Inter" w:cs="Inter" w:eastAsia="Inter"/>
                <w:b w:val="0"/>
                <w:i w:val="0"/>
                <w:color w:val="555149"/>
                <w:sz w:val="17"/>
              </w:rPr>
              <w:t>Verbal and non-verbal, active listening, telephone etiquette</w:t>
            </w:r>
          </w:p>
        </w:tc>
        <w:tc>
          <w:tcPr>
            <w:tcW w:type="dxa" w:w="950"/>
            <w:tcMar>
              <w:top w:w="40" w:type="dxa"/>
              <w:bottom w:w="40" w:type="dxa"/>
              <w:left w:w="90" w:type="dxa"/>
              <w:right w:w="90" w:type="dxa"/>
            </w:tcMar>
          </w:tcPr>
          <w:p>
            <w:pPr>
              <w:spacing w:before="0" w:after="0" w:line="288" w:lineRule="auto"/>
            </w:pPr>
            <w:r>
              <w:rPr>
                <w:rFonts w:ascii="Inter" w:hAnsi="Inter" w:cs="Inter" w:eastAsia="Inter"/>
                <w:b w:val="0"/>
                <w:i w:val="0"/>
                <w:color w:val="555149"/>
                <w:sz w:val="17"/>
              </w:rPr>
              <w:t>2-3</w:t>
            </w:r>
          </w:p>
        </w:tc>
        <w:tc>
          <w:tcPr>
            <w:tcW w:type="dxa" w:w="1066"/>
            <w:tcMar>
              <w:top w:w="40" w:type="dxa"/>
              <w:bottom w:w="40" w:type="dxa"/>
              <w:left w:w="90" w:type="dxa"/>
              <w:right w:w="90" w:type="dxa"/>
            </w:tcMar>
          </w:tcPr>
          <w:p>
            <w:pPr>
              <w:spacing w:before="0" w:after="0" w:line="288" w:lineRule="auto"/>
            </w:pPr>
            <w:r>
              <w:rPr>
                <w:rFonts w:ascii="Inter" w:hAnsi="Inter" w:cs="Inter" w:eastAsia="Inter"/>
                <w:b w:val="0"/>
                <w:i w:val="0"/>
                <w:color w:val="555149"/>
                <w:sz w:val="17"/>
              </w:rPr>
              <w:t>4</w:t>
            </w:r>
          </w:p>
        </w:tc>
      </w:tr>
      <w:tr>
        <w:trPr>
          <w:cantSplit/>
        </w:trPr>
        <w:tc>
          <w:tcPr>
            <w:tcW w:type="dxa" w:w="2909"/>
            <w:tcMar>
              <w:top w:w="40" w:type="dxa"/>
              <w:bottom w:w="40" w:type="dxa"/>
              <w:left w:w="90" w:type="dxa"/>
              <w:right w:w="90" w:type="dxa"/>
            </w:tcMar>
            <w:shd w:val="clear" w:color="auto" w:fill="FCFAF5"/>
          </w:tcPr>
          <w:p>
            <w:pPr>
              <w:spacing w:before="0" w:after="0" w:line="288" w:lineRule="auto"/>
            </w:pPr>
            <w:r>
              <w:rPr>
                <w:rFonts w:ascii="Inter" w:hAnsi="Inter" w:cs="Inter" w:eastAsia="Inter"/>
                <w:b/>
                <w:i w:val="0"/>
                <w:color w:val="201C15"/>
                <w:sz w:val="17"/>
              </w:rPr>
              <w:t>M4 Emotional Intelligence &amp; Empathy</w:t>
            </w:r>
          </w:p>
        </w:tc>
        <w:tc>
          <w:tcPr>
            <w:tcW w:type="dxa" w:w="4680"/>
            <w:tcMar>
              <w:top w:w="40" w:type="dxa"/>
              <w:bottom w:w="40" w:type="dxa"/>
              <w:left w:w="90" w:type="dxa"/>
              <w:right w:w="90" w:type="dxa"/>
            </w:tcMar>
            <w:shd w:val="clear" w:color="auto" w:fill="FCFAF5"/>
          </w:tcPr>
          <w:p>
            <w:pPr>
              <w:spacing w:before="0" w:after="0" w:line="288" w:lineRule="auto"/>
            </w:pPr>
            <w:r>
              <w:rPr>
                <w:rFonts w:ascii="Inter" w:hAnsi="Inter" w:cs="Inter" w:eastAsia="Inter"/>
                <w:b w:val="0"/>
                <w:i w:val="0"/>
                <w:color w:val="555149"/>
                <w:sz w:val="17"/>
              </w:rPr>
              <w:t>Self-regulation, empathy, patient dignity and privacy</w:t>
            </w:r>
          </w:p>
        </w:tc>
        <w:tc>
          <w:tcPr>
            <w:tcW w:type="dxa" w:w="950"/>
            <w:tcMar>
              <w:top w:w="40" w:type="dxa"/>
              <w:bottom w:w="40" w:type="dxa"/>
              <w:left w:w="90" w:type="dxa"/>
              <w:right w:w="90" w:type="dxa"/>
            </w:tcMar>
            <w:shd w:val="clear" w:color="auto" w:fill="FCFAF5"/>
          </w:tcPr>
          <w:p>
            <w:pPr>
              <w:spacing w:before="0" w:after="0" w:line="288" w:lineRule="auto"/>
            </w:pPr>
            <w:r>
              <w:rPr>
                <w:rFonts w:ascii="Inter" w:hAnsi="Inter" w:cs="Inter" w:eastAsia="Inter"/>
                <w:b w:val="0"/>
                <w:i w:val="0"/>
                <w:color w:val="555149"/>
                <w:sz w:val="17"/>
              </w:rPr>
              <w:t>4</w:t>
            </w:r>
          </w:p>
        </w:tc>
        <w:tc>
          <w:tcPr>
            <w:tcW w:type="dxa" w:w="1066"/>
            <w:tcMar>
              <w:top w:w="40" w:type="dxa"/>
              <w:bottom w:w="40" w:type="dxa"/>
              <w:left w:w="90" w:type="dxa"/>
              <w:right w:w="90" w:type="dxa"/>
            </w:tcMar>
            <w:shd w:val="clear" w:color="auto" w:fill="FCFAF5"/>
          </w:tcPr>
          <w:p>
            <w:pPr>
              <w:spacing w:before="0" w:after="0" w:line="288" w:lineRule="auto"/>
            </w:pPr>
            <w:r>
              <w:rPr>
                <w:rFonts w:ascii="Inter" w:hAnsi="Inter" w:cs="Inter" w:eastAsia="Inter"/>
                <w:b w:val="0"/>
                <w:i w:val="0"/>
                <w:color w:val="555149"/>
                <w:sz w:val="17"/>
              </w:rPr>
              <w:t>3</w:t>
            </w:r>
          </w:p>
        </w:tc>
      </w:tr>
      <w:tr>
        <w:trPr>
          <w:cantSplit/>
        </w:trPr>
        <w:tc>
          <w:tcPr>
            <w:tcW w:type="dxa" w:w="2909"/>
            <w:tcMar>
              <w:top w:w="40" w:type="dxa"/>
              <w:bottom w:w="40" w:type="dxa"/>
              <w:left w:w="90" w:type="dxa"/>
              <w:right w:w="90" w:type="dxa"/>
            </w:tcMar>
          </w:tcPr>
          <w:p>
            <w:pPr>
              <w:spacing w:before="0" w:after="0" w:line="288" w:lineRule="auto"/>
            </w:pPr>
            <w:r>
              <w:rPr>
                <w:rFonts w:ascii="Inter" w:hAnsi="Inter" w:cs="Inter" w:eastAsia="Inter"/>
                <w:b/>
                <w:i w:val="0"/>
                <w:color w:val="201C15"/>
                <w:sz w:val="17"/>
              </w:rPr>
              <w:t>M5 Patient Experience &amp; Standards</w:t>
            </w:r>
          </w:p>
        </w:tc>
        <w:tc>
          <w:tcPr>
            <w:tcW w:type="dxa" w:w="4680"/>
            <w:tcMar>
              <w:top w:w="40" w:type="dxa"/>
              <w:bottom w:w="40" w:type="dxa"/>
              <w:left w:w="90" w:type="dxa"/>
              <w:right w:w="90" w:type="dxa"/>
            </w:tcMar>
          </w:tcPr>
          <w:p>
            <w:pPr>
              <w:spacing w:before="0" w:after="0" w:line="288" w:lineRule="auto"/>
            </w:pPr>
            <w:r>
              <w:rPr>
                <w:rFonts w:ascii="Inter" w:hAnsi="Inter" w:cs="Inter" w:eastAsia="Inter"/>
                <w:b w:val="0"/>
                <w:i w:val="0"/>
                <w:color w:val="555149"/>
                <w:sz w:val="17"/>
              </w:rPr>
              <w:t>First impressions, guiding, managing expectations and delays</w:t>
            </w:r>
          </w:p>
        </w:tc>
        <w:tc>
          <w:tcPr>
            <w:tcW w:type="dxa" w:w="950"/>
            <w:tcMar>
              <w:top w:w="40" w:type="dxa"/>
              <w:bottom w:w="40" w:type="dxa"/>
              <w:left w:w="90" w:type="dxa"/>
              <w:right w:w="90" w:type="dxa"/>
            </w:tcMar>
          </w:tcPr>
          <w:p>
            <w:pPr>
              <w:spacing w:before="0" w:after="0" w:line="288" w:lineRule="auto"/>
            </w:pPr>
            <w:r>
              <w:rPr>
                <w:rFonts w:ascii="Inter" w:hAnsi="Inter" w:cs="Inter" w:eastAsia="Inter"/>
                <w:b w:val="0"/>
                <w:i w:val="0"/>
                <w:color w:val="555149"/>
                <w:sz w:val="17"/>
              </w:rPr>
              <w:t>5-6</w:t>
            </w:r>
          </w:p>
        </w:tc>
        <w:tc>
          <w:tcPr>
            <w:tcW w:type="dxa" w:w="1066"/>
            <w:tcMar>
              <w:top w:w="40" w:type="dxa"/>
              <w:bottom w:w="40" w:type="dxa"/>
              <w:left w:w="90" w:type="dxa"/>
              <w:right w:w="90" w:type="dxa"/>
            </w:tcMar>
          </w:tcPr>
          <w:p>
            <w:pPr>
              <w:spacing w:before="0" w:after="0" w:line="288" w:lineRule="auto"/>
            </w:pPr>
            <w:r>
              <w:rPr>
                <w:rFonts w:ascii="Inter" w:hAnsi="Inter" w:cs="Inter" w:eastAsia="Inter"/>
                <w:b w:val="0"/>
                <w:i w:val="0"/>
                <w:color w:val="555149"/>
                <w:sz w:val="17"/>
              </w:rPr>
              <w:t>4</w:t>
            </w:r>
          </w:p>
        </w:tc>
      </w:tr>
      <w:tr>
        <w:trPr>
          <w:cantSplit/>
        </w:trPr>
        <w:tc>
          <w:tcPr>
            <w:tcW w:type="dxa" w:w="2909"/>
            <w:tcMar>
              <w:top w:w="40" w:type="dxa"/>
              <w:bottom w:w="40" w:type="dxa"/>
              <w:left w:w="90" w:type="dxa"/>
              <w:right w:w="90" w:type="dxa"/>
            </w:tcMar>
            <w:shd w:val="clear" w:color="auto" w:fill="FCFAF5"/>
          </w:tcPr>
          <w:p>
            <w:pPr>
              <w:spacing w:before="0" w:after="0" w:line="288" w:lineRule="auto"/>
            </w:pPr>
            <w:r>
              <w:rPr>
                <w:rFonts w:ascii="Inter" w:hAnsi="Inter" w:cs="Inter" w:eastAsia="Inter"/>
                <w:b/>
                <w:i w:val="0"/>
                <w:color w:val="201C15"/>
                <w:sz w:val="17"/>
              </w:rPr>
              <w:t>M6 The Patient Journey</w:t>
            </w:r>
          </w:p>
        </w:tc>
        <w:tc>
          <w:tcPr>
            <w:tcW w:type="dxa" w:w="4680"/>
            <w:tcMar>
              <w:top w:w="40" w:type="dxa"/>
              <w:bottom w:w="40" w:type="dxa"/>
              <w:left w:w="90" w:type="dxa"/>
              <w:right w:w="90" w:type="dxa"/>
            </w:tcMar>
            <w:shd w:val="clear" w:color="auto" w:fill="FCFAF5"/>
          </w:tcPr>
          <w:p>
            <w:pPr>
              <w:spacing w:before="0" w:after="0" w:line="288" w:lineRule="auto"/>
            </w:pPr>
            <w:r>
              <w:rPr>
                <w:rFonts w:ascii="Inter" w:hAnsi="Inter" w:cs="Inter" w:eastAsia="Inter"/>
                <w:b w:val="0"/>
                <w:i w:val="0"/>
                <w:color w:val="555149"/>
                <w:sz w:val="17"/>
              </w:rPr>
              <w:t>Enquiry to discharge, touchpoint by touchpoint, by role</w:t>
            </w:r>
          </w:p>
        </w:tc>
        <w:tc>
          <w:tcPr>
            <w:tcW w:type="dxa" w:w="950"/>
            <w:tcMar>
              <w:top w:w="40" w:type="dxa"/>
              <w:bottom w:w="40" w:type="dxa"/>
              <w:left w:w="90" w:type="dxa"/>
              <w:right w:w="90" w:type="dxa"/>
            </w:tcMar>
            <w:shd w:val="clear" w:color="auto" w:fill="FCFAF5"/>
          </w:tcPr>
          <w:p>
            <w:pPr>
              <w:spacing w:before="0" w:after="0" w:line="288" w:lineRule="auto"/>
            </w:pPr>
            <w:r>
              <w:rPr>
                <w:rFonts w:ascii="Inter" w:hAnsi="Inter" w:cs="Inter" w:eastAsia="Inter"/>
                <w:b w:val="0"/>
                <w:i w:val="0"/>
                <w:color w:val="555149"/>
                <w:sz w:val="17"/>
              </w:rPr>
              <w:t>6-7</w:t>
            </w:r>
          </w:p>
        </w:tc>
        <w:tc>
          <w:tcPr>
            <w:tcW w:type="dxa" w:w="1066"/>
            <w:tcMar>
              <w:top w:w="40" w:type="dxa"/>
              <w:bottom w:w="40" w:type="dxa"/>
              <w:left w:w="90" w:type="dxa"/>
              <w:right w:w="90" w:type="dxa"/>
            </w:tcMar>
            <w:shd w:val="clear" w:color="auto" w:fill="FCFAF5"/>
          </w:tcPr>
          <w:p>
            <w:pPr>
              <w:spacing w:before="0" w:after="0" w:line="288" w:lineRule="auto"/>
            </w:pPr>
            <w:r>
              <w:rPr>
                <w:rFonts w:ascii="Inter" w:hAnsi="Inter" w:cs="Inter" w:eastAsia="Inter"/>
                <w:b w:val="0"/>
                <w:i w:val="0"/>
                <w:color w:val="555149"/>
                <w:sz w:val="17"/>
              </w:rPr>
              <w:t>4</w:t>
            </w:r>
          </w:p>
        </w:tc>
      </w:tr>
      <w:tr>
        <w:trPr>
          <w:cantSplit/>
        </w:trPr>
        <w:tc>
          <w:tcPr>
            <w:tcW w:type="dxa" w:w="2909"/>
            <w:tcMar>
              <w:top w:w="40" w:type="dxa"/>
              <w:bottom w:w="40" w:type="dxa"/>
              <w:left w:w="90" w:type="dxa"/>
              <w:right w:w="90" w:type="dxa"/>
            </w:tcMar>
          </w:tcPr>
          <w:p>
            <w:pPr>
              <w:spacing w:before="0" w:after="0" w:line="288" w:lineRule="auto"/>
            </w:pPr>
            <w:r>
              <w:rPr>
                <w:rFonts w:ascii="Inter" w:hAnsi="Inter" w:cs="Inter" w:eastAsia="Inter"/>
                <w:b/>
                <w:i w:val="0"/>
                <w:color w:val="201C15"/>
                <w:sz w:val="17"/>
              </w:rPr>
              <w:t>M7 Difficult Situations &amp; Recovery</w:t>
            </w:r>
          </w:p>
        </w:tc>
        <w:tc>
          <w:tcPr>
            <w:tcW w:type="dxa" w:w="4680"/>
            <w:tcMar>
              <w:top w:w="40" w:type="dxa"/>
              <w:bottom w:w="40" w:type="dxa"/>
              <w:left w:w="90" w:type="dxa"/>
              <w:right w:w="90" w:type="dxa"/>
            </w:tcMar>
          </w:tcPr>
          <w:p>
            <w:pPr>
              <w:spacing w:before="0" w:after="0" w:line="288" w:lineRule="auto"/>
            </w:pPr>
            <w:r>
              <w:rPr>
                <w:rFonts w:ascii="Inter" w:hAnsi="Inter" w:cs="Inter" w:eastAsia="Inter"/>
                <w:b w:val="0"/>
                <w:i w:val="0"/>
                <w:color w:val="555149"/>
                <w:sz w:val="17"/>
              </w:rPr>
              <w:t>Difficult news, complaints, service recovery, de-escalation</w:t>
            </w:r>
          </w:p>
        </w:tc>
        <w:tc>
          <w:tcPr>
            <w:tcW w:type="dxa" w:w="950"/>
            <w:tcMar>
              <w:top w:w="40" w:type="dxa"/>
              <w:bottom w:w="40" w:type="dxa"/>
              <w:left w:w="90" w:type="dxa"/>
              <w:right w:w="90" w:type="dxa"/>
            </w:tcMar>
          </w:tcPr>
          <w:p>
            <w:pPr>
              <w:spacing w:before="0" w:after="0" w:line="288" w:lineRule="auto"/>
            </w:pPr>
            <w:r>
              <w:rPr>
                <w:rFonts w:ascii="Inter" w:hAnsi="Inter" w:cs="Inter" w:eastAsia="Inter"/>
                <w:b w:val="0"/>
                <w:i w:val="0"/>
                <w:color w:val="555149"/>
                <w:sz w:val="17"/>
              </w:rPr>
              <w:t>7-9</w:t>
            </w:r>
          </w:p>
        </w:tc>
        <w:tc>
          <w:tcPr>
            <w:tcW w:type="dxa" w:w="1066"/>
            <w:tcMar>
              <w:top w:w="40" w:type="dxa"/>
              <w:bottom w:w="40" w:type="dxa"/>
              <w:left w:w="90" w:type="dxa"/>
              <w:right w:w="90" w:type="dxa"/>
            </w:tcMar>
          </w:tcPr>
          <w:p>
            <w:pPr>
              <w:spacing w:before="0" w:after="0" w:line="288" w:lineRule="auto"/>
            </w:pPr>
            <w:r>
              <w:rPr>
                <w:rFonts w:ascii="Inter" w:hAnsi="Inter" w:cs="Inter" w:eastAsia="Inter"/>
                <w:b w:val="0"/>
                <w:i w:val="0"/>
                <w:color w:val="555149"/>
                <w:sz w:val="17"/>
              </w:rPr>
              <w:t>5</w:t>
            </w:r>
          </w:p>
        </w:tc>
      </w:tr>
      <w:tr>
        <w:trPr>
          <w:cantSplit/>
        </w:trPr>
        <w:tc>
          <w:tcPr>
            <w:tcW w:type="dxa" w:w="2909"/>
            <w:tcMar>
              <w:top w:w="40" w:type="dxa"/>
              <w:bottom w:w="40" w:type="dxa"/>
              <w:left w:w="90" w:type="dxa"/>
              <w:right w:w="90" w:type="dxa"/>
            </w:tcMar>
            <w:shd w:val="clear" w:color="auto" w:fill="FCFAF5"/>
          </w:tcPr>
          <w:p>
            <w:pPr>
              <w:spacing w:before="0" w:after="0" w:line="288" w:lineRule="auto"/>
            </w:pPr>
            <w:r>
              <w:rPr>
                <w:rFonts w:ascii="Inter" w:hAnsi="Inter" w:cs="Inter" w:eastAsia="Inter"/>
                <w:b/>
                <w:i w:val="0"/>
                <w:color w:val="201C15"/>
                <w:sz w:val="17"/>
              </w:rPr>
              <w:t>M8 Personal Effectiveness &amp; Resilience</w:t>
            </w:r>
          </w:p>
        </w:tc>
        <w:tc>
          <w:tcPr>
            <w:tcW w:type="dxa" w:w="4680"/>
            <w:tcMar>
              <w:top w:w="40" w:type="dxa"/>
              <w:bottom w:w="40" w:type="dxa"/>
              <w:left w:w="90" w:type="dxa"/>
              <w:right w:w="90" w:type="dxa"/>
            </w:tcMar>
            <w:shd w:val="clear" w:color="auto" w:fill="FCFAF5"/>
          </w:tcPr>
          <w:p>
            <w:pPr>
              <w:spacing w:before="0" w:after="0" w:line="288" w:lineRule="auto"/>
            </w:pPr>
            <w:r>
              <w:rPr>
                <w:rFonts w:ascii="Inter" w:hAnsi="Inter" w:cs="Inter" w:eastAsia="Inter"/>
                <w:b w:val="0"/>
                <w:i w:val="0"/>
                <w:color w:val="555149"/>
                <w:sz w:val="17"/>
              </w:rPr>
              <w:t>Stress, compassion fatigue, priorities, accountability</w:t>
            </w:r>
          </w:p>
        </w:tc>
        <w:tc>
          <w:tcPr>
            <w:tcW w:type="dxa" w:w="950"/>
            <w:tcMar>
              <w:top w:w="40" w:type="dxa"/>
              <w:bottom w:w="40" w:type="dxa"/>
              <w:left w:w="90" w:type="dxa"/>
              <w:right w:w="90" w:type="dxa"/>
            </w:tcMar>
            <w:shd w:val="clear" w:color="auto" w:fill="FCFAF5"/>
          </w:tcPr>
          <w:p>
            <w:pPr>
              <w:spacing w:before="0" w:after="0" w:line="288" w:lineRule="auto"/>
            </w:pPr>
            <w:r>
              <w:rPr>
                <w:rFonts w:ascii="Inter" w:hAnsi="Inter" w:cs="Inter" w:eastAsia="Inter"/>
                <w:b w:val="0"/>
                <w:i w:val="0"/>
                <w:color w:val="555149"/>
                <w:sz w:val="17"/>
              </w:rPr>
              <w:t>9</w:t>
            </w:r>
          </w:p>
        </w:tc>
        <w:tc>
          <w:tcPr>
            <w:tcW w:type="dxa" w:w="1066"/>
            <w:tcMar>
              <w:top w:w="40" w:type="dxa"/>
              <w:bottom w:w="40" w:type="dxa"/>
              <w:left w:w="90" w:type="dxa"/>
              <w:right w:w="90" w:type="dxa"/>
            </w:tcMar>
            <w:shd w:val="clear" w:color="auto" w:fill="FCFAF5"/>
          </w:tcPr>
          <w:p>
            <w:pPr>
              <w:spacing w:before="0" w:after="0" w:line="288" w:lineRule="auto"/>
            </w:pPr>
            <w:r>
              <w:rPr>
                <w:rFonts w:ascii="Inter" w:hAnsi="Inter" w:cs="Inter" w:eastAsia="Inter"/>
                <w:b w:val="0"/>
                <w:i w:val="0"/>
                <w:color w:val="555149"/>
                <w:sz w:val="17"/>
              </w:rPr>
              <w:t>2</w:t>
            </w:r>
          </w:p>
        </w:tc>
      </w:tr>
      <w:tr>
        <w:trPr>
          <w:cantSplit/>
        </w:trPr>
        <w:tc>
          <w:tcPr>
            <w:tcW w:type="dxa" w:w="2909"/>
            <w:tcMar>
              <w:top w:w="40" w:type="dxa"/>
              <w:bottom w:w="40" w:type="dxa"/>
              <w:left w:w="90" w:type="dxa"/>
              <w:right w:w="90" w:type="dxa"/>
            </w:tcMar>
          </w:tcPr>
          <w:p>
            <w:pPr>
              <w:spacing w:before="0" w:after="0" w:line="288" w:lineRule="auto"/>
            </w:pPr>
            <w:r>
              <w:rPr>
                <w:rFonts w:ascii="Inter" w:hAnsi="Inter" w:cs="Inter" w:eastAsia="Inter"/>
                <w:b/>
                <w:i w:val="0"/>
                <w:color w:val="201C15"/>
                <w:sz w:val="17"/>
              </w:rPr>
              <w:t>M9 Teamwork &amp; Coordination</w:t>
            </w:r>
          </w:p>
        </w:tc>
        <w:tc>
          <w:tcPr>
            <w:tcW w:type="dxa" w:w="4680"/>
            <w:tcMar>
              <w:top w:w="40" w:type="dxa"/>
              <w:bottom w:w="40" w:type="dxa"/>
              <w:left w:w="90" w:type="dxa"/>
              <w:right w:w="90" w:type="dxa"/>
            </w:tcMar>
          </w:tcPr>
          <w:p>
            <w:pPr>
              <w:spacing w:before="0" w:after="0" w:line="288" w:lineRule="auto"/>
            </w:pPr>
            <w:r>
              <w:rPr>
                <w:rFonts w:ascii="Inter" w:hAnsi="Inter" w:cs="Inter" w:eastAsia="Inter"/>
                <w:b w:val="0"/>
                <w:i w:val="0"/>
                <w:color w:val="555149"/>
                <w:sz w:val="17"/>
              </w:rPr>
              <w:t>Handovers, internal-customer mindset, escalation discipline</w:t>
            </w:r>
          </w:p>
        </w:tc>
        <w:tc>
          <w:tcPr>
            <w:tcW w:type="dxa" w:w="950"/>
            <w:tcMar>
              <w:top w:w="40" w:type="dxa"/>
              <w:bottom w:w="40" w:type="dxa"/>
              <w:left w:w="90" w:type="dxa"/>
              <w:right w:w="90" w:type="dxa"/>
            </w:tcMar>
          </w:tcPr>
          <w:p>
            <w:pPr>
              <w:spacing w:before="0" w:after="0" w:line="288" w:lineRule="auto"/>
            </w:pPr>
            <w:r>
              <w:rPr>
                <w:rFonts w:ascii="Inter" w:hAnsi="Inter" w:cs="Inter" w:eastAsia="Inter"/>
                <w:b w:val="0"/>
                <w:i w:val="0"/>
                <w:color w:val="555149"/>
                <w:sz w:val="17"/>
              </w:rPr>
              <w:t>10</w:t>
            </w:r>
          </w:p>
        </w:tc>
        <w:tc>
          <w:tcPr>
            <w:tcW w:type="dxa" w:w="1066"/>
            <w:tcMar>
              <w:top w:w="40" w:type="dxa"/>
              <w:bottom w:w="40" w:type="dxa"/>
              <w:left w:w="90" w:type="dxa"/>
              <w:right w:w="90" w:type="dxa"/>
            </w:tcMar>
          </w:tcPr>
          <w:p>
            <w:pPr>
              <w:spacing w:before="0" w:after="0" w:line="288" w:lineRule="auto"/>
            </w:pPr>
            <w:r>
              <w:rPr>
                <w:rFonts w:ascii="Inter" w:hAnsi="Inter" w:cs="Inter" w:eastAsia="Inter"/>
                <w:b w:val="0"/>
                <w:i w:val="0"/>
                <w:color w:val="555149"/>
                <w:sz w:val="17"/>
              </w:rPr>
              <w:t>3</w:t>
            </w:r>
          </w:p>
        </w:tc>
      </w:tr>
      <w:tr>
        <w:trPr>
          <w:cantSplit/>
        </w:trPr>
        <w:tc>
          <w:tcPr>
            <w:tcW w:type="dxa" w:w="2909"/>
            <w:tcMar>
              <w:top w:w="40" w:type="dxa"/>
              <w:bottom w:w="40" w:type="dxa"/>
              <w:left w:w="90" w:type="dxa"/>
              <w:right w:w="90" w:type="dxa"/>
            </w:tcMar>
            <w:shd w:val="clear" w:color="auto" w:fill="FCFAF5"/>
          </w:tcPr>
          <w:p>
            <w:pPr>
              <w:spacing w:before="0" w:after="0" w:line="288" w:lineRule="auto"/>
            </w:pPr>
            <w:r>
              <w:rPr>
                <w:rFonts w:ascii="Inter" w:hAnsi="Inter" w:cs="Inter" w:eastAsia="Inter"/>
                <w:b/>
                <w:i w:val="0"/>
                <w:color w:val="201C15"/>
                <w:sz w:val="17"/>
              </w:rPr>
              <w:t>M10 Leadership &amp; Supervisory</w:t>
            </w:r>
          </w:p>
        </w:tc>
        <w:tc>
          <w:tcPr>
            <w:tcW w:type="dxa" w:w="4680"/>
            <w:tcMar>
              <w:top w:w="40" w:type="dxa"/>
              <w:bottom w:w="40" w:type="dxa"/>
              <w:left w:w="90" w:type="dxa"/>
              <w:right w:w="90" w:type="dxa"/>
            </w:tcMar>
            <w:shd w:val="clear" w:color="auto" w:fill="FCFAF5"/>
          </w:tcPr>
          <w:p>
            <w:pPr>
              <w:spacing w:before="0" w:after="0" w:line="288" w:lineRule="auto"/>
            </w:pPr>
            <w:r>
              <w:rPr>
                <w:rFonts w:ascii="Inter" w:hAnsi="Inter" w:cs="Inter" w:eastAsia="Inter"/>
                <w:b w:val="0"/>
                <w:i w:val="0"/>
                <w:color w:val="555149"/>
                <w:sz w:val="17"/>
              </w:rPr>
              <w:t>Huddles, coaching, feedback, conflict, underperformance</w:t>
            </w:r>
          </w:p>
        </w:tc>
        <w:tc>
          <w:tcPr>
            <w:tcW w:type="dxa" w:w="950"/>
            <w:tcMar>
              <w:top w:w="40" w:type="dxa"/>
              <w:bottom w:w="40" w:type="dxa"/>
              <w:left w:w="90" w:type="dxa"/>
              <w:right w:w="90" w:type="dxa"/>
            </w:tcMar>
            <w:shd w:val="clear" w:color="auto" w:fill="FCFAF5"/>
          </w:tcPr>
          <w:p>
            <w:pPr>
              <w:spacing w:before="0" w:after="0" w:line="288" w:lineRule="auto"/>
            </w:pPr>
            <w:r>
              <w:rPr>
                <w:rFonts w:ascii="Inter" w:hAnsi="Inter" w:cs="Inter" w:eastAsia="Inter"/>
                <w:b w:val="0"/>
                <w:i w:val="0"/>
                <w:color w:val="555149"/>
                <w:sz w:val="17"/>
              </w:rPr>
              <w:t>11-12</w:t>
            </w:r>
          </w:p>
        </w:tc>
        <w:tc>
          <w:tcPr>
            <w:tcW w:type="dxa" w:w="1066"/>
            <w:tcMar>
              <w:top w:w="40" w:type="dxa"/>
              <w:bottom w:w="40" w:type="dxa"/>
              <w:left w:w="90" w:type="dxa"/>
              <w:right w:w="90" w:type="dxa"/>
            </w:tcMar>
            <w:shd w:val="clear" w:color="auto" w:fill="FCFAF5"/>
          </w:tcPr>
          <w:p>
            <w:pPr>
              <w:spacing w:before="0" w:after="0" w:line="288" w:lineRule="auto"/>
            </w:pPr>
            <w:r>
              <w:rPr>
                <w:rFonts w:ascii="Inter" w:hAnsi="Inter" w:cs="Inter" w:eastAsia="Inter"/>
                <w:b w:val="0"/>
                <w:i w:val="0"/>
                <w:color w:val="555149"/>
                <w:sz w:val="17"/>
              </w:rPr>
              <w:t>4</w:t>
            </w:r>
          </w:p>
        </w:tc>
      </w:tr>
      <w:tr>
        <w:trPr>
          <w:cantSplit/>
        </w:trPr>
        <w:tc>
          <w:tcPr>
            <w:tcW w:type="dxa" w:w="2909"/>
            <w:tcMar>
              <w:top w:w="40" w:type="dxa"/>
              <w:bottom w:w="40" w:type="dxa"/>
              <w:left w:w="90" w:type="dxa"/>
              <w:right w:w="90" w:type="dxa"/>
            </w:tcMar>
          </w:tcPr>
          <w:p>
            <w:pPr>
              <w:spacing w:before="0" w:after="0" w:line="288" w:lineRule="auto"/>
            </w:pPr>
            <w:r>
              <w:rPr>
                <w:rFonts w:ascii="Inter" w:hAnsi="Inter" w:cs="Inter" w:eastAsia="Inter"/>
                <w:b/>
                <w:i w:val="0"/>
                <w:color w:val="201C15"/>
                <w:sz w:val="17"/>
              </w:rPr>
              <w:t>M11 Train-the-Trainer</w:t>
            </w:r>
          </w:p>
        </w:tc>
        <w:tc>
          <w:tcPr>
            <w:tcW w:type="dxa" w:w="4680"/>
            <w:tcMar>
              <w:top w:w="40" w:type="dxa"/>
              <w:bottom w:w="40" w:type="dxa"/>
              <w:left w:w="90" w:type="dxa"/>
              <w:right w:w="90" w:type="dxa"/>
            </w:tcMar>
          </w:tcPr>
          <w:p>
            <w:pPr>
              <w:spacing w:before="0" w:after="0" w:line="288" w:lineRule="auto"/>
            </w:pPr>
            <w:r>
              <w:rPr>
                <w:rFonts w:ascii="Inter" w:hAnsi="Inter" w:cs="Inter" w:eastAsia="Inter"/>
                <w:b w:val="0"/>
                <w:i w:val="0"/>
                <w:color w:val="555149"/>
                <w:sz w:val="17"/>
              </w:rPr>
              <w:t>Adult learning, facilitation, assessment, reinforcement</w:t>
            </w:r>
          </w:p>
        </w:tc>
        <w:tc>
          <w:tcPr>
            <w:tcW w:type="dxa" w:w="950"/>
            <w:tcMar>
              <w:top w:w="40" w:type="dxa"/>
              <w:bottom w:w="40" w:type="dxa"/>
              <w:left w:w="90" w:type="dxa"/>
              <w:right w:w="90" w:type="dxa"/>
            </w:tcMar>
          </w:tcPr>
          <w:p>
            <w:pPr>
              <w:spacing w:before="0" w:after="0" w:line="288" w:lineRule="auto"/>
            </w:pPr>
            <w:r>
              <w:rPr>
                <w:rFonts w:ascii="Inter" w:hAnsi="Inter" w:cs="Inter" w:eastAsia="Inter"/>
                <w:b w:val="0"/>
                <w:i w:val="0"/>
                <w:color w:val="555149"/>
                <w:sz w:val="17"/>
              </w:rPr>
              <w:t>12-13</w:t>
            </w:r>
          </w:p>
        </w:tc>
        <w:tc>
          <w:tcPr>
            <w:tcW w:type="dxa" w:w="1066"/>
            <w:tcMar>
              <w:top w:w="40" w:type="dxa"/>
              <w:bottom w:w="40" w:type="dxa"/>
              <w:left w:w="90" w:type="dxa"/>
              <w:right w:w="90" w:type="dxa"/>
            </w:tcMar>
          </w:tcPr>
          <w:p>
            <w:pPr>
              <w:spacing w:before="0" w:after="0" w:line="288" w:lineRule="auto"/>
            </w:pPr>
            <w:r>
              <w:rPr>
                <w:rFonts w:ascii="Inter" w:hAnsi="Inter" w:cs="Inter" w:eastAsia="Inter"/>
                <w:b w:val="0"/>
                <w:i w:val="0"/>
                <w:color w:val="555149"/>
                <w:sz w:val="17"/>
              </w:rPr>
              <w:t>3</w:t>
            </w:r>
          </w:p>
        </w:tc>
      </w:tr>
      <w:tr>
        <w:trPr>
          <w:cantSplit/>
        </w:trPr>
        <w:tc>
          <w:tcPr>
            <w:tcW w:type="dxa" w:w="2909"/>
            <w:tcMar>
              <w:top w:w="40" w:type="dxa"/>
              <w:bottom w:w="40" w:type="dxa"/>
              <w:left w:w="90" w:type="dxa"/>
              <w:right w:w="90" w:type="dxa"/>
            </w:tcMar>
            <w:shd w:val="clear" w:color="auto" w:fill="FCFAF5"/>
          </w:tcPr>
          <w:p>
            <w:pPr>
              <w:spacing w:before="0" w:after="0" w:line="288" w:lineRule="auto"/>
            </w:pPr>
            <w:r>
              <w:rPr>
                <w:rFonts w:ascii="Inter" w:hAnsi="Inter" w:cs="Inter" w:eastAsia="Inter"/>
                <w:b/>
                <w:i w:val="0"/>
                <w:color w:val="201C15"/>
                <w:sz w:val="17"/>
              </w:rPr>
              <w:t>M12 Consolidation &amp; Review</w:t>
            </w:r>
          </w:p>
        </w:tc>
        <w:tc>
          <w:tcPr>
            <w:tcW w:type="dxa" w:w="4680"/>
            <w:tcMar>
              <w:top w:w="40" w:type="dxa"/>
              <w:bottom w:w="40" w:type="dxa"/>
              <w:left w:w="90" w:type="dxa"/>
              <w:right w:w="90" w:type="dxa"/>
            </w:tcMar>
            <w:shd w:val="clear" w:color="auto" w:fill="FCFAF5"/>
          </w:tcPr>
          <w:p>
            <w:pPr>
              <w:spacing w:before="0" w:after="0" w:line="288" w:lineRule="auto"/>
            </w:pPr>
            <w:r>
              <w:rPr>
                <w:rFonts w:ascii="Inter" w:hAnsi="Inter" w:cs="Inter" w:eastAsia="Inter"/>
                <w:b w:val="0"/>
                <w:i w:val="0"/>
                <w:color w:val="555149"/>
                <w:sz w:val="17"/>
              </w:rPr>
              <w:t>Post-assessment, dashboard, management review</w:t>
            </w:r>
          </w:p>
        </w:tc>
        <w:tc>
          <w:tcPr>
            <w:tcW w:type="dxa" w:w="950"/>
            <w:tcMar>
              <w:top w:w="40" w:type="dxa"/>
              <w:bottom w:w="40" w:type="dxa"/>
              <w:left w:w="90" w:type="dxa"/>
              <w:right w:w="90" w:type="dxa"/>
            </w:tcMar>
            <w:shd w:val="clear" w:color="auto" w:fill="FCFAF5"/>
          </w:tcPr>
          <w:p>
            <w:pPr>
              <w:spacing w:before="0" w:after="0" w:line="288" w:lineRule="auto"/>
            </w:pPr>
            <w:r>
              <w:rPr>
                <w:rFonts w:ascii="Inter" w:hAnsi="Inter" w:cs="Inter" w:eastAsia="Inter"/>
                <w:b w:val="0"/>
                <w:i w:val="0"/>
                <w:color w:val="555149"/>
                <w:sz w:val="17"/>
              </w:rPr>
              <w:t>13</w:t>
            </w:r>
          </w:p>
        </w:tc>
        <w:tc>
          <w:tcPr>
            <w:tcW w:type="dxa" w:w="1066"/>
            <w:tcMar>
              <w:top w:w="40" w:type="dxa"/>
              <w:bottom w:w="40" w:type="dxa"/>
              <w:left w:w="90" w:type="dxa"/>
              <w:right w:w="90" w:type="dxa"/>
            </w:tcMar>
            <w:shd w:val="clear" w:color="auto" w:fill="FCFAF5"/>
          </w:tcPr>
          <w:p>
            <w:pPr>
              <w:spacing w:before="0" w:after="0" w:line="288" w:lineRule="auto"/>
            </w:pPr>
            <w:r>
              <w:rPr>
                <w:rFonts w:ascii="Inter" w:hAnsi="Inter" w:cs="Inter" w:eastAsia="Inter"/>
                <w:b w:val="0"/>
                <w:i w:val="0"/>
                <w:color w:val="555149"/>
                <w:sz w:val="17"/>
              </w:rPr>
              <w:t>2</w:t>
            </w:r>
          </w:p>
        </w:tc>
      </w:tr>
      <w:tr>
        <w:trPr>
          <w:cantSplit/>
        </w:trPr>
        <w:tc>
          <w:tcPr>
            <w:tcW w:type="dxa" w:w="2909"/>
            <w:tcMar>
              <w:top w:w="40" w:type="dxa"/>
              <w:bottom w:w="40" w:type="dxa"/>
              <w:left w:w="90" w:type="dxa"/>
              <w:right w:w="90" w:type="dxa"/>
            </w:tcMar>
            <w:shd w:val="clear" w:color="auto" w:fill="F1EDE2"/>
          </w:tcPr>
          <w:p>
            <w:pPr>
              <w:spacing w:before="0" w:after="0" w:line="288" w:lineRule="auto"/>
            </w:pPr>
            <w:r>
              <w:rPr>
                <w:rFonts w:ascii="Inter" w:hAnsi="Inter" w:cs="Inter" w:eastAsia="Inter"/>
                <w:b/>
                <w:i w:val="0"/>
                <w:color w:val="201C15"/>
                <w:sz w:val="17"/>
              </w:rPr>
              <w:t>Total</w:t>
            </w:r>
          </w:p>
        </w:tc>
        <w:tc>
          <w:tcPr>
            <w:tcW w:type="dxa" w:w="4680"/>
            <w:tcMar>
              <w:top w:w="40" w:type="dxa"/>
              <w:bottom w:w="40" w:type="dxa"/>
              <w:left w:w="90" w:type="dxa"/>
              <w:right w:w="90" w:type="dxa"/>
            </w:tcMar>
            <w:shd w:val="clear" w:color="auto" w:fill="F1EDE2"/>
          </w:tcPr>
          <w:p>
            <w:pPr>
              <w:spacing w:before="0" w:after="0" w:line="288" w:lineRule="auto"/>
            </w:pPr>
            <w:r>
              <w:rPr>
                <w:rFonts w:ascii="Inter" w:hAnsi="Inter" w:cs="Inter" w:eastAsia="Inter"/>
                <w:b/>
                <w:i w:val="0"/>
                <w:color w:val="201C15"/>
                <w:sz w:val="17"/>
              </w:rPr>
              <w:t>13 weeks, 3 per week</w:t>
            </w:r>
          </w:p>
        </w:tc>
        <w:tc>
          <w:tcPr>
            <w:tcW w:type="dxa" w:w="950"/>
            <w:tcMar>
              <w:top w:w="40" w:type="dxa"/>
              <w:bottom w:w="40" w:type="dxa"/>
              <w:left w:w="90" w:type="dxa"/>
              <w:right w:w="90" w:type="dxa"/>
            </w:tcMar>
            <w:shd w:val="clear" w:color="auto" w:fill="F1EDE2"/>
          </w:tcPr>
          <w:p>
            <w:pPr>
              <w:spacing w:before="0" w:after="0" w:line="288" w:lineRule="auto"/>
            </w:pPr>
            <w:r>
              <w:rPr>
                <w:rFonts w:ascii="Inter" w:hAnsi="Inter" w:cs="Inter" w:eastAsia="Inter"/>
                <w:b/>
                <w:i w:val="0"/>
                <w:color w:val="201C15"/>
                <w:sz w:val="17"/>
              </w:rPr>
              <w:t>1-13</w:t>
            </w:r>
          </w:p>
        </w:tc>
        <w:tc>
          <w:tcPr>
            <w:tcW w:type="dxa" w:w="1066"/>
            <w:tcMar>
              <w:top w:w="40" w:type="dxa"/>
              <w:bottom w:w="40" w:type="dxa"/>
              <w:left w:w="90" w:type="dxa"/>
              <w:right w:w="90" w:type="dxa"/>
            </w:tcMar>
            <w:shd w:val="clear" w:color="auto" w:fill="F1EDE2"/>
          </w:tcPr>
          <w:p>
            <w:pPr>
              <w:spacing w:before="0" w:after="0" w:line="288" w:lineRule="auto"/>
            </w:pPr>
            <w:r>
              <w:rPr>
                <w:rFonts w:ascii="Inter" w:hAnsi="Inter" w:cs="Inter" w:eastAsia="Inter"/>
                <w:b/>
                <w:i w:val="0"/>
                <w:color w:val="201C15"/>
                <w:sz w:val="17"/>
              </w:rPr>
              <w:t>39</w:t>
            </w:r>
          </w:p>
        </w:tc>
      </w:tr>
    </w:tbl>
    <w:p>
      <w:pPr>
        <w:spacing w:before="0" w:after="120"/>
      </w:pPr>
      <w:r>
        <w:rPr>
          <w:rFonts w:ascii="Inter" w:hAnsi="Inter" w:cs="Inter" w:eastAsia="Inter"/>
          <w:b w:val="0"/>
          <w:i w:val="0"/>
          <w:color w:val="201C15"/>
          <w:sz w:val="2"/>
        </w:rPr>
      </w:r>
    </w:p>
    <w:p>
      <w:pPr>
        <w:spacing w:before="0" w:after="110" w:line="300" w:lineRule="auto"/>
        <w:jc w:val="both"/>
      </w:pPr>
      <w:r>
        <w:rPr>
          <w:rFonts w:ascii="Inter" w:hAnsi="Inter" w:cs="Inter" w:eastAsia="Inter"/>
          <w:b w:val="0"/>
          <w:i w:val="0"/>
          <w:color w:val="555149"/>
          <w:sz w:val="19"/>
        </w:rPr>
        <w:t>Weeks 1 to 10 run frontline and staff batches, with supervisors attending alongside their own teams rather than in a separate senior run. Weeks 11 and 12 take the supervisory and leadership cohort, Weeks 12 and 13 the internal-trainer group. Induction is built during Diagnose and Design and delivered to each new-joiner cohort as they arrive, so it is a standing track rather than a calendar week.</w:t>
      </w:r>
    </w:p>
    <w:p>
      <w:pPr>
        <w:keepNext/>
        <w:spacing w:before="160" w:after="70"/>
      </w:pPr>
      <w:r>
        <w:rPr>
          <w:rFonts w:ascii="Playfair Display" w:hAnsi="Playfair Display" w:cs="Playfair Display" w:eastAsia="Playfair Display"/>
          <w:b/>
          <w:i w:val="0"/>
          <w:color w:val="B08930"/>
          <w:sz w:val="17"/>
        </w:rPr>
        <w:t xml:space="preserve">04   </w:t>
      </w:r>
      <w:r>
        <w:rPr>
          <w:rFonts w:ascii="Inter" w:hAnsi="Inter" w:cs="Inter" w:eastAsia="Inter"/>
          <w:b/>
          <w:i w:val="0"/>
          <w:color w:val="937425"/>
          <w:sz w:val="14"/>
          <w:spacing w:val="44"/>
        </w:rPr>
        <w:t>OUTCOMES BY ROLE</w:t>
      </w:r>
    </w:p>
    <w:p>
      <w:pPr>
        <w:keepNext/>
        <w:spacing w:before="0" w:after="120" w:line="269" w:lineRule="auto"/>
      </w:pPr>
      <w:r>
        <w:rPr>
          <w:rFonts w:ascii="Playfair Display" w:hAnsi="Playfair Display" w:cs="Playfair Display" w:eastAsia="Playfair Display"/>
          <w:b/>
          <w:i w:val="0"/>
          <w:color w:val="201C15"/>
          <w:sz w:val="28"/>
        </w:rPr>
        <w:t>What Each Group Takes Away</w:t>
      </w:r>
    </w:p>
    <w:p>
      <w:pPr>
        <w:spacing w:before="0" w:after="140" w:line="300" w:lineRule="auto"/>
        <w:jc w:val="both"/>
      </w:pPr>
      <w:r>
        <w:rPr>
          <w:rFonts w:ascii="Inter" w:hAnsi="Inter" w:cs="Inter" w:eastAsia="Inter"/>
          <w:b w:val="0"/>
          <w:i w:val="0"/>
          <w:color w:val="4A4233"/>
          <w:sz w:val="20"/>
        </w:rPr>
        <w:t>Every group takes the foundation modules; M6 is allocated by role, M10 is for supervisors and department heads, M11 for the nominated internal trainers.</w:t>
      </w:r>
    </w:p>
    <w:tbl>
      <w:tblPr>
        <w:tblW w:type="auto" w:w="0"/>
        <w:jc w:val="left"/>
        <w:tblLayout w:type="fixed"/>
        <w:tblLook w:firstColumn="1" w:firstRow="1" w:lastColumn="0" w:lastRow="0" w:noHBand="0" w:noVBand="1" w:val="04A0"/>
        <w:tblBorders>
          <w:top w:val="none" w:sz="6" w:space="0" w:color="DDD7C8"/>
          <w:left w:val="none" w:sz="6" w:space="0" w:color="DDD7C8"/>
          <w:bottom w:val="none" w:sz="6" w:space="0" w:color="DDD7C8"/>
          <w:right w:val="none" w:sz="6" w:space="0" w:color="DDD7C8"/>
          <w:insideH w:val="single" w:sz="6" w:space="0" w:color="DDD7C8"/>
          <w:insideV w:val="none" w:sz="6" w:space="0" w:color="DDD7C8"/>
        </w:tblBorders>
        <w:tblLayout w:type="fixed"/>
      </w:tblPr>
      <w:tblGrid>
        <w:gridCol w:w="2044"/>
        <w:gridCol w:w="3916"/>
        <w:gridCol w:w="3643"/>
      </w:tblGrid>
      <w:tr>
        <w:trPr>
          <w:tblHeader/>
          <w:cantSplit/>
        </w:trPr>
        <w:tc>
          <w:tcPr>
            <w:tcW w:type="dxa" w:w="2045"/>
            <w:shd w:val="clear" w:color="auto" w:fill="F1EDE2"/>
            <w:tcMar>
              <w:top w:w="70" w:type="dxa"/>
              <w:bottom w:w="70" w:type="dxa"/>
              <w:left w:w="90" w:type="dxa"/>
              <w:right w:w="90" w:type="dxa"/>
            </w:tcMar>
          </w:tcPr>
          <w:p>
            <w:pPr>
              <w:spacing w:before="0" w:after="0"/>
            </w:pPr>
            <w:r>
              <w:rPr>
                <w:rFonts w:ascii="Inter" w:hAnsi="Inter" w:cs="Inter" w:eastAsia="Inter"/>
                <w:b/>
                <w:i w:val="0"/>
                <w:color w:val="937425"/>
                <w:sz w:val="13"/>
                <w:spacing w:val="26"/>
              </w:rPr>
              <w:t>ROLE GROUP</w:t>
            </w:r>
          </w:p>
        </w:tc>
        <w:tc>
          <w:tcPr>
            <w:tcW w:type="dxa" w:w="3917"/>
            <w:shd w:val="clear" w:color="auto" w:fill="F1EDE2"/>
            <w:tcMar>
              <w:top w:w="70" w:type="dxa"/>
              <w:bottom w:w="70" w:type="dxa"/>
              <w:left w:w="90" w:type="dxa"/>
              <w:right w:w="90" w:type="dxa"/>
            </w:tcMar>
          </w:tcPr>
          <w:p>
            <w:pPr>
              <w:spacing w:before="0" w:after="0"/>
            </w:pPr>
            <w:r>
              <w:rPr>
                <w:rFonts w:ascii="Inter" w:hAnsi="Inter" w:cs="Inter" w:eastAsia="Inter"/>
                <w:b/>
                <w:i w:val="0"/>
                <w:color w:val="937425"/>
                <w:sz w:val="13"/>
                <w:spacing w:val="26"/>
              </w:rPr>
              <w:t>WHAT THEY GAIN</w:t>
            </w:r>
          </w:p>
        </w:tc>
        <w:tc>
          <w:tcPr>
            <w:tcW w:type="dxa" w:w="3643"/>
            <w:shd w:val="clear" w:color="auto" w:fill="F1EDE2"/>
            <w:tcMar>
              <w:top w:w="70" w:type="dxa"/>
              <w:bottom w:w="70" w:type="dxa"/>
              <w:left w:w="90" w:type="dxa"/>
              <w:right w:w="90" w:type="dxa"/>
            </w:tcMar>
          </w:tcPr>
          <w:p>
            <w:pPr>
              <w:spacing w:before="0" w:after="0"/>
            </w:pPr>
            <w:r>
              <w:rPr>
                <w:rFonts w:ascii="Inter" w:hAnsi="Inter" w:cs="Inter" w:eastAsia="Inter"/>
                <w:b/>
                <w:i w:val="0"/>
                <w:color w:val="937425"/>
                <w:sz w:val="13"/>
                <w:spacing w:val="26"/>
              </w:rPr>
              <w:t>WHAT THEY KEEP</w:t>
            </w:r>
          </w:p>
        </w:tc>
      </w:tr>
      <w:tr>
        <w:trPr>
          <w:cantSplit/>
        </w:trPr>
        <w:tc>
          <w:tcPr>
            <w:tcW w:type="dxa" w:w="2045"/>
            <w:tcMar>
              <w:top w:w="40" w:type="dxa"/>
              <w:bottom w:w="40" w:type="dxa"/>
              <w:left w:w="90" w:type="dxa"/>
              <w:right w:w="90" w:type="dxa"/>
            </w:tcMar>
          </w:tcPr>
          <w:p>
            <w:pPr>
              <w:spacing w:before="0" w:after="0" w:line="288" w:lineRule="auto"/>
            </w:pPr>
            <w:r>
              <w:rPr>
                <w:rFonts w:ascii="Inter" w:hAnsi="Inter" w:cs="Inter" w:eastAsia="Inter"/>
                <w:b/>
                <w:i w:val="0"/>
                <w:color w:val="201C15"/>
                <w:sz w:val="17"/>
              </w:rPr>
              <w:t>Front office and reception</w:t>
            </w:r>
          </w:p>
        </w:tc>
        <w:tc>
          <w:tcPr>
            <w:tcW w:type="dxa" w:w="3917"/>
            <w:tcMar>
              <w:top w:w="40" w:type="dxa"/>
              <w:bottom w:w="40" w:type="dxa"/>
              <w:left w:w="90" w:type="dxa"/>
              <w:right w:w="90" w:type="dxa"/>
            </w:tcMar>
          </w:tcPr>
          <w:p>
            <w:pPr>
              <w:spacing w:before="0" w:after="0" w:line="288" w:lineRule="auto"/>
            </w:pPr>
            <w:r>
              <w:rPr>
                <w:rFonts w:ascii="Inter" w:hAnsi="Inter" w:cs="Inter" w:eastAsia="Inter"/>
                <w:b w:val="0"/>
                <w:i w:val="0"/>
                <w:color w:val="555149"/>
                <w:sz w:val="17"/>
              </w:rPr>
              <w:t>First-impression protocol, telephone discipline, enquiry handling, waiting-time communication</w:t>
            </w:r>
          </w:p>
        </w:tc>
        <w:tc>
          <w:tcPr>
            <w:tcW w:type="dxa" w:w="3643"/>
            <w:tcMar>
              <w:top w:w="40" w:type="dxa"/>
              <w:bottom w:w="40" w:type="dxa"/>
              <w:left w:w="90" w:type="dxa"/>
              <w:right w:w="90" w:type="dxa"/>
            </w:tcMar>
          </w:tcPr>
          <w:p>
            <w:pPr>
              <w:spacing w:before="0" w:after="0" w:line="288" w:lineRule="auto"/>
            </w:pPr>
            <w:r>
              <w:rPr>
                <w:rFonts w:ascii="Inter" w:hAnsi="Inter" w:cs="Inter" w:eastAsia="Inter"/>
                <w:b w:val="0"/>
                <w:i w:val="0"/>
                <w:color w:val="555149"/>
                <w:sz w:val="17"/>
              </w:rPr>
              <w:t>Greeting and telephone aid, waiting-time wording, escalation flowchart</w:t>
            </w:r>
          </w:p>
        </w:tc>
      </w:tr>
      <w:tr>
        <w:trPr>
          <w:cantSplit/>
        </w:trPr>
        <w:tc>
          <w:tcPr>
            <w:tcW w:type="dxa" w:w="2045"/>
            <w:tcMar>
              <w:top w:w="40" w:type="dxa"/>
              <w:bottom w:w="40" w:type="dxa"/>
              <w:left w:w="90" w:type="dxa"/>
              <w:right w:w="90" w:type="dxa"/>
            </w:tcMar>
            <w:shd w:val="clear" w:color="auto" w:fill="FCFAF5"/>
          </w:tcPr>
          <w:p>
            <w:pPr>
              <w:spacing w:before="0" w:after="0" w:line="288" w:lineRule="auto"/>
            </w:pPr>
            <w:r>
              <w:rPr>
                <w:rFonts w:ascii="Inter" w:hAnsi="Inter" w:cs="Inter" w:eastAsia="Inter"/>
                <w:b/>
                <w:i w:val="0"/>
                <w:color w:val="201C15"/>
                <w:sz w:val="17"/>
              </w:rPr>
              <w:t>Patient relations</w:t>
            </w:r>
          </w:p>
        </w:tc>
        <w:tc>
          <w:tcPr>
            <w:tcW w:type="dxa" w:w="3917"/>
            <w:tcMar>
              <w:top w:w="40" w:type="dxa"/>
              <w:bottom w:w="40" w:type="dxa"/>
              <w:left w:w="90" w:type="dxa"/>
              <w:right w:w="90" w:type="dxa"/>
            </w:tcMar>
            <w:shd w:val="clear" w:color="auto" w:fill="FCFAF5"/>
          </w:tcPr>
          <w:p>
            <w:pPr>
              <w:spacing w:before="0" w:after="0" w:line="288" w:lineRule="auto"/>
            </w:pPr>
            <w:r>
              <w:rPr>
                <w:rFonts w:ascii="Inter" w:hAnsi="Inter" w:cs="Inter" w:eastAsia="Inter"/>
                <w:b w:val="0"/>
                <w:i w:val="0"/>
                <w:color w:val="555149"/>
                <w:sz w:val="17"/>
              </w:rPr>
              <w:t>Empathy-led enquiry, complaint intake, service recovery, closing the loop with families</w:t>
            </w:r>
          </w:p>
        </w:tc>
        <w:tc>
          <w:tcPr>
            <w:tcW w:type="dxa" w:w="3643"/>
            <w:tcMar>
              <w:top w:w="40" w:type="dxa"/>
              <w:bottom w:w="40" w:type="dxa"/>
              <w:left w:w="90" w:type="dxa"/>
              <w:right w:w="90" w:type="dxa"/>
            </w:tcMar>
            <w:shd w:val="clear" w:color="auto" w:fill="FCFAF5"/>
          </w:tcPr>
          <w:p>
            <w:pPr>
              <w:spacing w:before="0" w:after="0" w:line="288" w:lineRule="auto"/>
            </w:pPr>
            <w:r>
              <w:rPr>
                <w:rFonts w:ascii="Inter" w:hAnsi="Inter" w:cs="Inter" w:eastAsia="Inter"/>
                <w:b w:val="0"/>
                <w:i w:val="0"/>
                <w:color w:val="555149"/>
                <w:sz w:val="17"/>
              </w:rPr>
              <w:t>Service-recovery card, complaint and closure log, rounding question set</w:t>
            </w:r>
          </w:p>
        </w:tc>
      </w:tr>
      <w:tr>
        <w:trPr>
          <w:cantSplit/>
        </w:trPr>
        <w:tc>
          <w:tcPr>
            <w:tcW w:type="dxa" w:w="2045"/>
            <w:tcMar>
              <w:top w:w="40" w:type="dxa"/>
              <w:bottom w:w="40" w:type="dxa"/>
              <w:left w:w="90" w:type="dxa"/>
              <w:right w:w="90" w:type="dxa"/>
            </w:tcMar>
          </w:tcPr>
          <w:p>
            <w:pPr>
              <w:spacing w:before="0" w:after="0" w:line="288" w:lineRule="auto"/>
            </w:pPr>
            <w:r>
              <w:rPr>
                <w:rFonts w:ascii="Inter" w:hAnsi="Inter" w:cs="Inter" w:eastAsia="Inter"/>
                <w:b/>
                <w:i w:val="0"/>
                <w:color w:val="201C15"/>
                <w:sz w:val="17"/>
              </w:rPr>
              <w:t>Billing and administration</w:t>
            </w:r>
          </w:p>
        </w:tc>
        <w:tc>
          <w:tcPr>
            <w:tcW w:type="dxa" w:w="3917"/>
            <w:tcMar>
              <w:top w:w="40" w:type="dxa"/>
              <w:bottom w:w="40" w:type="dxa"/>
              <w:left w:w="90" w:type="dxa"/>
              <w:right w:w="90" w:type="dxa"/>
            </w:tcMar>
          </w:tcPr>
          <w:p>
            <w:pPr>
              <w:spacing w:before="0" w:after="0" w:line="288" w:lineRule="auto"/>
            </w:pPr>
            <w:r>
              <w:rPr>
                <w:rFonts w:ascii="Inter" w:hAnsi="Inter" w:cs="Inter" w:eastAsia="Inter"/>
                <w:b w:val="0"/>
                <w:i w:val="0"/>
                <w:color w:val="555149"/>
                <w:sz w:val="17"/>
              </w:rPr>
              <w:t>Explaining estimates without jargon, financial conversations with distressed families, dispute de-escalation</w:t>
            </w:r>
          </w:p>
        </w:tc>
        <w:tc>
          <w:tcPr>
            <w:tcW w:type="dxa" w:w="3643"/>
            <w:tcMar>
              <w:top w:w="40" w:type="dxa"/>
              <w:bottom w:w="40" w:type="dxa"/>
              <w:left w:w="90" w:type="dxa"/>
              <w:right w:w="90" w:type="dxa"/>
            </w:tcMar>
          </w:tcPr>
          <w:p>
            <w:pPr>
              <w:spacing w:before="0" w:after="0" w:line="288" w:lineRule="auto"/>
            </w:pPr>
            <w:r>
              <w:rPr>
                <w:rFonts w:ascii="Inter" w:hAnsi="Inter" w:cs="Inter" w:eastAsia="Inter"/>
                <w:b w:val="0"/>
                <w:i w:val="0"/>
                <w:color w:val="555149"/>
                <w:sz w:val="17"/>
              </w:rPr>
              <w:t>Billing-explanation framework, estimate checklist, de-escalation steps</w:t>
            </w:r>
          </w:p>
        </w:tc>
      </w:tr>
      <w:tr>
        <w:trPr>
          <w:cantSplit/>
        </w:trPr>
        <w:tc>
          <w:tcPr>
            <w:tcW w:type="dxa" w:w="2045"/>
            <w:tcMar>
              <w:top w:w="40" w:type="dxa"/>
              <w:bottom w:w="40" w:type="dxa"/>
              <w:left w:w="90" w:type="dxa"/>
              <w:right w:w="90" w:type="dxa"/>
            </w:tcMar>
            <w:shd w:val="clear" w:color="auto" w:fill="FCFAF5"/>
          </w:tcPr>
          <w:p>
            <w:pPr>
              <w:spacing w:before="0" w:after="0" w:line="288" w:lineRule="auto"/>
            </w:pPr>
            <w:r>
              <w:rPr>
                <w:rFonts w:ascii="Inter" w:hAnsi="Inter" w:cs="Inter" w:eastAsia="Inter"/>
                <w:b/>
                <w:i w:val="0"/>
                <w:color w:val="201C15"/>
                <w:sz w:val="17"/>
              </w:rPr>
              <w:t>Nursing and clinical support</w:t>
            </w:r>
          </w:p>
        </w:tc>
        <w:tc>
          <w:tcPr>
            <w:tcW w:type="dxa" w:w="3917"/>
            <w:tcMar>
              <w:top w:w="40" w:type="dxa"/>
              <w:bottom w:w="40" w:type="dxa"/>
              <w:left w:w="90" w:type="dxa"/>
              <w:right w:w="90" w:type="dxa"/>
            </w:tcMar>
            <w:shd w:val="clear" w:color="auto" w:fill="FCFAF5"/>
          </w:tcPr>
          <w:p>
            <w:pPr>
              <w:spacing w:before="0" w:after="0" w:line="288" w:lineRule="auto"/>
            </w:pPr>
            <w:r>
              <w:rPr>
                <w:rFonts w:ascii="Inter" w:hAnsi="Inter" w:cs="Inter" w:eastAsia="Inter"/>
                <w:b w:val="0"/>
                <w:i w:val="0"/>
                <w:color w:val="555149"/>
                <w:sz w:val="17"/>
              </w:rPr>
              <w:t>Bedside courtesy, explaining what happens next, dignity and privacy, handovers, compassion fatigue. Behavioural layer only</w:t>
            </w:r>
          </w:p>
        </w:tc>
        <w:tc>
          <w:tcPr>
            <w:tcW w:type="dxa" w:w="3643"/>
            <w:tcMar>
              <w:top w:w="40" w:type="dxa"/>
              <w:bottom w:w="40" w:type="dxa"/>
              <w:left w:w="90" w:type="dxa"/>
              <w:right w:w="90" w:type="dxa"/>
            </w:tcMar>
            <w:shd w:val="clear" w:color="auto" w:fill="FCFAF5"/>
          </w:tcPr>
          <w:p>
            <w:pPr>
              <w:spacing w:before="0" w:after="0" w:line="288" w:lineRule="auto"/>
            </w:pPr>
            <w:r>
              <w:rPr>
                <w:rFonts w:ascii="Inter" w:hAnsi="Inter" w:cs="Inter" w:eastAsia="Inter"/>
                <w:b w:val="0"/>
                <w:i w:val="0"/>
                <w:color w:val="555149"/>
                <w:sz w:val="17"/>
              </w:rPr>
              <w:t>Bedside card, dignity and privacy checklist, handover aid</w:t>
            </w:r>
          </w:p>
        </w:tc>
      </w:tr>
      <w:tr>
        <w:trPr>
          <w:cantSplit/>
        </w:trPr>
        <w:tc>
          <w:tcPr>
            <w:tcW w:type="dxa" w:w="2045"/>
            <w:tcMar>
              <w:top w:w="40" w:type="dxa"/>
              <w:bottom w:w="40" w:type="dxa"/>
              <w:left w:w="90" w:type="dxa"/>
              <w:right w:w="90" w:type="dxa"/>
            </w:tcMar>
          </w:tcPr>
          <w:p>
            <w:pPr>
              <w:spacing w:before="0" w:after="0" w:line="288" w:lineRule="auto"/>
            </w:pPr>
            <w:r>
              <w:rPr>
                <w:rFonts w:ascii="Inter" w:hAnsi="Inter" w:cs="Inter" w:eastAsia="Inter"/>
                <w:b/>
                <w:i w:val="0"/>
                <w:color w:val="201C15"/>
                <w:sz w:val="17"/>
              </w:rPr>
              <w:t>Housekeeping and facility</w:t>
            </w:r>
          </w:p>
        </w:tc>
        <w:tc>
          <w:tcPr>
            <w:tcW w:type="dxa" w:w="3917"/>
            <w:tcMar>
              <w:top w:w="40" w:type="dxa"/>
              <w:bottom w:w="40" w:type="dxa"/>
              <w:left w:w="90" w:type="dxa"/>
              <w:right w:w="90" w:type="dxa"/>
            </w:tcMar>
          </w:tcPr>
          <w:p>
            <w:pPr>
              <w:spacing w:before="0" w:after="0" w:line="288" w:lineRule="auto"/>
            </w:pPr>
            <w:r>
              <w:rPr>
                <w:rFonts w:ascii="Inter" w:hAnsi="Inter" w:cs="Inter" w:eastAsia="Inter"/>
                <w:b w:val="0"/>
                <w:i w:val="0"/>
                <w:color w:val="555149"/>
                <w:sz w:val="17"/>
              </w:rPr>
              <w:t>Conduct in patient areas, permission before entering, discretion, escalating beyond role</w:t>
            </w:r>
          </w:p>
        </w:tc>
        <w:tc>
          <w:tcPr>
            <w:tcW w:type="dxa" w:w="3643"/>
            <w:tcMar>
              <w:top w:w="40" w:type="dxa"/>
              <w:bottom w:w="40" w:type="dxa"/>
              <w:left w:w="90" w:type="dxa"/>
              <w:right w:w="90" w:type="dxa"/>
            </w:tcMar>
          </w:tcPr>
          <w:p>
            <w:pPr>
              <w:spacing w:before="0" w:after="0" w:line="288" w:lineRule="auto"/>
            </w:pPr>
            <w:r>
              <w:rPr>
                <w:rFonts w:ascii="Inter" w:hAnsi="Inter" w:cs="Inter" w:eastAsia="Inter"/>
                <w:b w:val="0"/>
                <w:i w:val="0"/>
                <w:color w:val="555149"/>
                <w:sz w:val="17"/>
              </w:rPr>
              <w:t>In-room conduct card, request-and-escalate wording, confidentiality card</w:t>
            </w:r>
          </w:p>
        </w:tc>
      </w:tr>
      <w:tr>
        <w:trPr>
          <w:cantSplit/>
        </w:trPr>
        <w:tc>
          <w:tcPr>
            <w:tcW w:type="dxa" w:w="2045"/>
            <w:tcMar>
              <w:top w:w="40" w:type="dxa"/>
              <w:bottom w:w="40" w:type="dxa"/>
              <w:left w:w="90" w:type="dxa"/>
              <w:right w:w="90" w:type="dxa"/>
            </w:tcMar>
            <w:shd w:val="clear" w:color="auto" w:fill="FCFAF5"/>
          </w:tcPr>
          <w:p>
            <w:pPr>
              <w:spacing w:before="0" w:after="0" w:line="288" w:lineRule="auto"/>
            </w:pPr>
            <w:r>
              <w:rPr>
                <w:rFonts w:ascii="Inter" w:hAnsi="Inter" w:cs="Inter" w:eastAsia="Inter"/>
                <w:b/>
                <w:i w:val="0"/>
                <w:color w:val="201C15"/>
                <w:sz w:val="17"/>
              </w:rPr>
              <w:t>Security</w:t>
            </w:r>
          </w:p>
        </w:tc>
        <w:tc>
          <w:tcPr>
            <w:tcW w:type="dxa" w:w="3917"/>
            <w:tcMar>
              <w:top w:w="40" w:type="dxa"/>
              <w:bottom w:w="40" w:type="dxa"/>
              <w:left w:w="90" w:type="dxa"/>
              <w:right w:w="90" w:type="dxa"/>
            </w:tcMar>
            <w:shd w:val="clear" w:color="auto" w:fill="FCFAF5"/>
          </w:tcPr>
          <w:p>
            <w:pPr>
              <w:spacing w:before="0" w:after="0" w:line="288" w:lineRule="auto"/>
            </w:pPr>
            <w:r>
              <w:rPr>
                <w:rFonts w:ascii="Inter" w:hAnsi="Inter" w:cs="Inter" w:eastAsia="Inter"/>
                <w:b w:val="0"/>
                <w:i w:val="0"/>
                <w:color w:val="555149"/>
                <w:sz w:val="17"/>
              </w:rPr>
              <w:t>Firm but courteous authority, visitor control without confrontation, de-escalating grief and agitation</w:t>
            </w:r>
          </w:p>
        </w:tc>
        <w:tc>
          <w:tcPr>
            <w:tcW w:type="dxa" w:w="3643"/>
            <w:tcMar>
              <w:top w:w="40" w:type="dxa"/>
              <w:bottom w:w="40" w:type="dxa"/>
              <w:left w:w="90" w:type="dxa"/>
              <w:right w:w="90" w:type="dxa"/>
            </w:tcMar>
            <w:shd w:val="clear" w:color="auto" w:fill="FCFAF5"/>
          </w:tcPr>
          <w:p>
            <w:pPr>
              <w:spacing w:before="0" w:after="0" w:line="288" w:lineRule="auto"/>
            </w:pPr>
            <w:r>
              <w:rPr>
                <w:rFonts w:ascii="Inter" w:hAnsi="Inter" w:cs="Inter" w:eastAsia="Inter"/>
                <w:b w:val="0"/>
                <w:i w:val="0"/>
                <w:color w:val="555149"/>
                <w:sz w:val="17"/>
              </w:rPr>
              <w:t>De-escalation ladder, gate-side entry wording, incident escalation aid</w:t>
            </w:r>
          </w:p>
        </w:tc>
      </w:tr>
      <w:tr>
        <w:trPr>
          <w:cantSplit/>
        </w:trPr>
        <w:tc>
          <w:tcPr>
            <w:tcW w:type="dxa" w:w="2045"/>
            <w:tcMar>
              <w:top w:w="40" w:type="dxa"/>
              <w:bottom w:w="40" w:type="dxa"/>
              <w:left w:w="90" w:type="dxa"/>
              <w:right w:w="90" w:type="dxa"/>
            </w:tcMar>
          </w:tcPr>
          <w:p>
            <w:pPr>
              <w:spacing w:before="0" w:after="0" w:line="288" w:lineRule="auto"/>
            </w:pPr>
            <w:r>
              <w:rPr>
                <w:rFonts w:ascii="Inter" w:hAnsi="Inter" w:cs="Inter" w:eastAsia="Inter"/>
                <w:b/>
                <w:i w:val="0"/>
                <w:color w:val="201C15"/>
                <w:sz w:val="17"/>
              </w:rPr>
              <w:t>Supervisors and department heads</w:t>
            </w:r>
          </w:p>
        </w:tc>
        <w:tc>
          <w:tcPr>
            <w:tcW w:type="dxa" w:w="3917"/>
            <w:tcMar>
              <w:top w:w="40" w:type="dxa"/>
              <w:bottom w:w="40" w:type="dxa"/>
              <w:left w:w="90" w:type="dxa"/>
              <w:right w:w="90" w:type="dxa"/>
            </w:tcMar>
          </w:tcPr>
          <w:p>
            <w:pPr>
              <w:spacing w:before="0" w:after="0" w:line="288" w:lineRule="auto"/>
            </w:pPr>
            <w:r>
              <w:rPr>
                <w:rFonts w:ascii="Inter" w:hAnsi="Inter" w:cs="Inter" w:eastAsia="Inter"/>
                <w:b w:val="0"/>
                <w:i w:val="0"/>
                <w:color w:val="555149"/>
                <w:sz w:val="17"/>
              </w:rPr>
              <w:t>Huddles, on-floor observation and coaching, feedback, conflict, underperformance</w:t>
            </w:r>
          </w:p>
        </w:tc>
        <w:tc>
          <w:tcPr>
            <w:tcW w:type="dxa" w:w="3643"/>
            <w:tcMar>
              <w:top w:w="40" w:type="dxa"/>
              <w:bottom w:w="40" w:type="dxa"/>
              <w:left w:w="90" w:type="dxa"/>
              <w:right w:w="90" w:type="dxa"/>
            </w:tcMar>
          </w:tcPr>
          <w:p>
            <w:pPr>
              <w:spacing w:before="0" w:after="0" w:line="288" w:lineRule="auto"/>
            </w:pPr>
            <w:r>
              <w:rPr>
                <w:rFonts w:ascii="Inter" w:hAnsi="Inter" w:cs="Inter" w:eastAsia="Inter"/>
                <w:b w:val="0"/>
                <w:i w:val="0"/>
                <w:color w:val="555149"/>
                <w:sz w:val="17"/>
              </w:rPr>
              <w:t>Huddle template, observation checklists, feedback structure, coaching questions</w:t>
            </w:r>
          </w:p>
        </w:tc>
      </w:tr>
      <w:tr>
        <w:trPr>
          <w:cantSplit/>
        </w:trPr>
        <w:tc>
          <w:tcPr>
            <w:tcW w:type="dxa" w:w="2045"/>
            <w:tcMar>
              <w:top w:w="40" w:type="dxa"/>
              <w:bottom w:w="40" w:type="dxa"/>
              <w:left w:w="90" w:type="dxa"/>
              <w:right w:w="90" w:type="dxa"/>
            </w:tcMar>
            <w:shd w:val="clear" w:color="auto" w:fill="FCFAF5"/>
          </w:tcPr>
          <w:p>
            <w:pPr>
              <w:spacing w:before="0" w:after="0" w:line="288" w:lineRule="auto"/>
            </w:pPr>
            <w:r>
              <w:rPr>
                <w:rFonts w:ascii="Inter" w:hAnsi="Inter" w:cs="Inter" w:eastAsia="Inter"/>
                <w:b/>
                <w:i w:val="0"/>
                <w:color w:val="201C15"/>
                <w:sz w:val="17"/>
              </w:rPr>
              <w:t>Managers and leadership</w:t>
            </w:r>
          </w:p>
        </w:tc>
        <w:tc>
          <w:tcPr>
            <w:tcW w:type="dxa" w:w="3917"/>
            <w:tcMar>
              <w:top w:w="40" w:type="dxa"/>
              <w:bottom w:w="40" w:type="dxa"/>
              <w:left w:w="90" w:type="dxa"/>
              <w:right w:w="90" w:type="dxa"/>
            </w:tcMar>
            <w:shd w:val="clear" w:color="auto" w:fill="FCFAF5"/>
          </w:tcPr>
          <w:p>
            <w:pPr>
              <w:spacing w:before="0" w:after="0" w:line="288" w:lineRule="auto"/>
            </w:pPr>
            <w:r>
              <w:rPr>
                <w:rFonts w:ascii="Inter" w:hAnsi="Inter" w:cs="Inter" w:eastAsia="Inter"/>
                <w:b w:val="0"/>
                <w:i w:val="0"/>
                <w:color w:val="555149"/>
                <w:sz w:val="17"/>
              </w:rPr>
              <w:t>Reading the dashboard, linking recurring complaints to capability gaps, governing the calendar</w:t>
            </w:r>
          </w:p>
        </w:tc>
        <w:tc>
          <w:tcPr>
            <w:tcW w:type="dxa" w:w="3643"/>
            <w:tcMar>
              <w:top w:w="40" w:type="dxa"/>
              <w:bottom w:w="40" w:type="dxa"/>
              <w:left w:w="90" w:type="dxa"/>
              <w:right w:w="90" w:type="dxa"/>
            </w:tcMar>
            <w:shd w:val="clear" w:color="auto" w:fill="FCFAF5"/>
          </w:tcPr>
          <w:p>
            <w:pPr>
              <w:spacing w:before="0" w:after="0" w:line="288" w:lineRule="auto"/>
            </w:pPr>
            <w:r>
              <w:rPr>
                <w:rFonts w:ascii="Inter" w:hAnsi="Inter" w:cs="Inter" w:eastAsia="Inter"/>
                <w:b w:val="0"/>
                <w:i w:val="0"/>
                <w:color w:val="555149"/>
                <w:sz w:val="17"/>
              </w:rPr>
              <w:t>Effectiveness dashboard, monthly review pack, gap-to-action framework</w:t>
            </w:r>
          </w:p>
        </w:tc>
      </w:tr>
    </w:tbl>
    <w:p>
      <w:pPr>
        <w:spacing w:before="0" w:after="120"/>
      </w:pPr>
      <w:r>
        <w:rPr>
          <w:rFonts w:ascii="Inter" w:hAnsi="Inter" w:cs="Inter" w:eastAsia="Inter"/>
          <w:b w:val="0"/>
          <w:i w:val="0"/>
          <w:color w:val="201C15"/>
          <w:sz w:val="2"/>
        </w:rPr>
      </w:r>
    </w:p>
    <w:p>
      <w:pPr>
        <w:keepNext/>
        <w:spacing w:before="160" w:after="70"/>
      </w:pPr>
      <w:r>
        <w:rPr>
          <w:rFonts w:ascii="Playfair Display" w:hAnsi="Playfair Display" w:cs="Playfair Display" w:eastAsia="Playfair Display"/>
          <w:b/>
          <w:i w:val="0"/>
          <w:color w:val="B08930"/>
          <w:sz w:val="17"/>
        </w:rPr>
        <w:t xml:space="preserve">05   </w:t>
      </w:r>
      <w:r>
        <w:rPr>
          <w:rFonts w:ascii="Inter" w:hAnsi="Inter" w:cs="Inter" w:eastAsia="Inter"/>
          <w:b/>
          <w:i w:val="0"/>
          <w:color w:val="937425"/>
          <w:sz w:val="14"/>
          <w:spacing w:val="44"/>
        </w:rPr>
        <w:t>APPROACH AND DELIVERY</w:t>
      </w:r>
    </w:p>
    <w:p>
      <w:pPr>
        <w:keepNext/>
        <w:spacing w:before="0" w:after="120" w:line="269" w:lineRule="auto"/>
      </w:pPr>
      <w:r>
        <w:rPr>
          <w:rFonts w:ascii="Playfair Display" w:hAnsi="Playfair Display" w:cs="Playfair Display" w:eastAsia="Playfair Display"/>
          <w:b/>
          <w:i w:val="0"/>
          <w:color w:val="201C15"/>
          <w:sz w:val="28"/>
        </w:rPr>
        <w:t>How It Runs, And What The Hospital Receives</w:t>
      </w:r>
    </w:p>
    <w:p>
      <w:pPr>
        <w:spacing w:before="0" w:after="110" w:line="300" w:lineRule="auto"/>
        <w:jc w:val="both"/>
      </w:pPr>
      <w:r>
        <w:rPr>
          <w:rFonts w:ascii="Inter" w:hAnsi="Inter" w:cs="Inter" w:eastAsia="Inter"/>
          <w:b w:val="0"/>
          <w:i w:val="0"/>
          <w:color w:val="555149"/>
          <w:sz w:val="19"/>
        </w:rPr>
        <w:t>Our five stages are Diagnose, Design, Deliver, Reinforce and Measure. Diagnose opens the engagement through management discussions, departmental inputs, employee observation and review of the anonymised feedback, complaint and audit material the hospital shares. Design customises every module against the hospital's own policies, SOPs and service standards. Reinforce carries job aids to the point of work, supervisor coaching, and short observation visits during live shifts.</w:t>
      </w:r>
    </w:p>
    <w:p>
      <w:pPr>
        <w:spacing w:before="0" w:after="110" w:line="300" w:lineRule="auto"/>
        <w:jc w:val="both"/>
      </w:pPr>
      <w:r>
        <w:rPr>
          <w:rFonts w:ascii="Inter" w:hAnsi="Inter" w:cs="Inter" w:eastAsia="Inter"/>
          <w:b w:val="0"/>
          <w:i w:val="0"/>
          <w:color w:val="555149"/>
          <w:sz w:val="19"/>
        </w:rPr>
        <w:t>Sessions are practical rather than theoretical: workshops, role plays, hospital-based case studies, patient-interaction simulations, scenario discussions, microlearning, on-the-job observation, coaching and pre- and post-training assessments. A four-hour session allows a full cycle of concept, demonstration, practice and feedback, of which 105 minutes are structured practice and a further 25 minutes participant case work. Employees practise how to do it rather than simply being told.</w:t>
      </w:r>
    </w:p>
    <w:p>
      <w:pPr>
        <w:spacing w:before="0" w:after="110" w:line="300" w:lineRule="auto"/>
        <w:jc w:val="both"/>
      </w:pPr>
      <w:r>
        <w:rPr>
          <w:rFonts w:ascii="Inter" w:hAnsi="Inter" w:cs="Inter" w:eastAsia="Inter"/>
          <w:b w:val="0"/>
          <w:i w:val="0"/>
          <w:color w:val="555149"/>
          <w:sz w:val="19"/>
        </w:rPr>
        <w:t>Deliverables across the ninety days:</w:t>
      </w:r>
    </w:p>
    <w:p>
      <w:pPr>
        <w:tabs>
          <w:tab w:pos="403" w:val="left"/>
        </w:tabs>
        <w:spacing w:before="0" w:after="80" w:line="314" w:lineRule="auto"/>
        <w:ind w:left="403" w:hanging="403"/>
      </w:pPr>
      <w:r>
        <w:rPr>
          <w:rFonts w:ascii="Inter" w:hAnsi="Inter" w:cs="Inter" w:eastAsia="Inter"/>
          <w:b/>
          <w:i w:val="0"/>
          <w:color w:val="B08930"/>
          <w:sz w:val="19"/>
        </w:rPr>
        <w:t>–</w:t>
      </w:r>
      <w:r>
        <w:rPr>
          <w:rFonts w:ascii="Inter" w:hAnsi="Inter" w:cs="Inter" w:eastAsia="Inter"/>
          <w:b w:val="0"/>
          <w:i w:val="0"/>
          <w:color w:val="555149"/>
          <w:sz w:val="19"/>
        </w:rPr>
        <w:tab/>
      </w:r>
      <w:r>
        <w:rPr>
          <w:rFonts w:ascii="Inter" w:hAnsi="Inter" w:cs="Inter" w:eastAsia="Inter"/>
          <w:b w:val="0"/>
          <w:i w:val="0"/>
          <w:color w:val="555149"/>
          <w:sz w:val="19"/>
        </w:rPr>
        <w:t>Training Needs Analysis report by end of Week 2, competency and skill-gap framework in Week 3, and a training calendar the hospital can extend quarterly</w:t>
      </w:r>
    </w:p>
    <w:p>
      <w:pPr>
        <w:tabs>
          <w:tab w:pos="403" w:val="left"/>
        </w:tabs>
        <w:spacing w:before="0" w:after="80" w:line="314" w:lineRule="auto"/>
        <w:ind w:left="403" w:hanging="403"/>
      </w:pPr>
      <w:r>
        <w:rPr>
          <w:rFonts w:ascii="Inter" w:hAnsi="Inter" w:cs="Inter" w:eastAsia="Inter"/>
          <w:b/>
          <w:i w:val="0"/>
          <w:color w:val="B08930"/>
          <w:sz w:val="19"/>
        </w:rPr>
        <w:t>–</w:t>
      </w:r>
      <w:r>
        <w:rPr>
          <w:rFonts w:ascii="Inter" w:hAnsi="Inter" w:cs="Inter" w:eastAsia="Inter"/>
          <w:b w:val="0"/>
          <w:i w:val="0"/>
          <w:color w:val="555149"/>
          <w:sz w:val="19"/>
        </w:rPr>
        <w:tab/>
      </w:r>
      <w:r>
        <w:rPr>
          <w:rFonts w:ascii="Inter" w:hAnsi="Inter" w:cs="Inter" w:eastAsia="Inter"/>
          <w:b w:val="0"/>
          <w:i w:val="0"/>
          <w:color w:val="555149"/>
          <w:sz w:val="19"/>
        </w:rPr>
        <w:t>The induction programme and all twelve customised modules, with facilitator guides, participant materials and role-specific job aids</w:t>
      </w:r>
    </w:p>
    <w:p>
      <w:pPr>
        <w:tabs>
          <w:tab w:pos="403" w:val="left"/>
        </w:tabs>
        <w:spacing w:before="0" w:after="80" w:line="314" w:lineRule="auto"/>
        <w:ind w:left="403" w:hanging="403"/>
      </w:pPr>
      <w:r>
        <w:rPr>
          <w:rFonts w:ascii="Inter" w:hAnsi="Inter" w:cs="Inter" w:eastAsia="Inter"/>
          <w:b/>
          <w:i w:val="0"/>
          <w:color w:val="B08930"/>
          <w:sz w:val="19"/>
        </w:rPr>
        <w:t>–</w:t>
      </w:r>
      <w:r>
        <w:rPr>
          <w:rFonts w:ascii="Inter" w:hAnsi="Inter" w:cs="Inter" w:eastAsia="Inter"/>
          <w:b w:val="0"/>
          <w:i w:val="0"/>
          <w:color w:val="555149"/>
          <w:sz w:val="19"/>
        </w:rPr>
        <w:tab/>
      </w:r>
      <w:r>
        <w:rPr>
          <w:rFonts w:ascii="Inter" w:hAnsi="Inter" w:cs="Inter" w:eastAsia="Inter"/>
          <w:b w:val="0"/>
          <w:i w:val="0"/>
          <w:color w:val="555149"/>
          <w:sz w:val="19"/>
        </w:rPr>
        <w:t>Assessment and observation instruments in use from Week 1, consolidated in Week 3</w:t>
      </w:r>
    </w:p>
    <w:p>
      <w:pPr>
        <w:tabs>
          <w:tab w:pos="403" w:val="left"/>
        </w:tabs>
        <w:spacing w:before="0" w:after="80" w:line="314" w:lineRule="auto"/>
        <w:ind w:left="403" w:hanging="403"/>
      </w:pPr>
      <w:r>
        <w:rPr>
          <w:rFonts w:ascii="Inter" w:hAnsi="Inter" w:cs="Inter" w:eastAsia="Inter"/>
          <w:b/>
          <w:i w:val="0"/>
          <w:color w:val="B08930"/>
          <w:sz w:val="19"/>
        </w:rPr>
        <w:t>–</w:t>
      </w:r>
      <w:r>
        <w:rPr>
          <w:rFonts w:ascii="Inter" w:hAnsi="Inter" w:cs="Inter" w:eastAsia="Inter"/>
          <w:b w:val="0"/>
          <w:i w:val="0"/>
          <w:color w:val="555149"/>
          <w:sz w:val="19"/>
        </w:rPr>
        <w:tab/>
      </w:r>
      <w:r>
        <w:rPr>
          <w:rFonts w:ascii="Inter" w:hAnsi="Inter" w:cs="Inter" w:eastAsia="Inter"/>
          <w:b w:val="0"/>
          <w:i w:val="0"/>
          <w:color w:val="555149"/>
          <w:sz w:val="19"/>
        </w:rPr>
        <w:t>Attendance records, feedback analysis, monthly training reports, and corrective plans where a standard is not holding</w:t>
      </w:r>
    </w:p>
    <w:p>
      <w:pPr>
        <w:tabs>
          <w:tab w:pos="403" w:val="left"/>
        </w:tabs>
        <w:spacing w:before="0" w:after="80" w:line="314" w:lineRule="auto"/>
        <w:ind w:left="403" w:hanging="403"/>
      </w:pPr>
      <w:r>
        <w:rPr>
          <w:rFonts w:ascii="Inter" w:hAnsi="Inter" w:cs="Inter" w:eastAsia="Inter"/>
          <w:b/>
          <w:i w:val="0"/>
          <w:color w:val="B08930"/>
          <w:sz w:val="19"/>
        </w:rPr>
        <w:t>–</w:t>
      </w:r>
      <w:r>
        <w:rPr>
          <w:rFonts w:ascii="Inter" w:hAnsi="Inter" w:cs="Inter" w:eastAsia="Inter"/>
          <w:b w:val="0"/>
          <w:i w:val="0"/>
          <w:color w:val="555149"/>
          <w:sz w:val="19"/>
        </w:rPr>
        <w:tab/>
      </w:r>
      <w:r>
        <w:rPr>
          <w:rFonts w:ascii="Inter" w:hAnsi="Inter" w:cs="Inter" w:eastAsia="Inter"/>
          <w:b w:val="0"/>
          <w:i w:val="0"/>
          <w:color w:val="555149"/>
          <w:sz w:val="19"/>
        </w:rPr>
        <w:t>Management review presentations and a training effectiveness dashboard</w:t>
      </w:r>
    </w:p>
    <w:p>
      <w:pPr>
        <w:spacing w:before="0" w:after="110" w:line="300" w:lineRule="auto"/>
        <w:jc w:val="both"/>
      </w:pPr>
      <w:r>
        <w:rPr>
          <w:rFonts w:ascii="Inter" w:hAnsi="Inter" w:cs="Inter" w:eastAsia="Inter"/>
          <w:b w:val="0"/>
          <w:i w:val="0"/>
          <w:color w:val="555149"/>
          <w:sz w:val="19"/>
        </w:rPr>
        <w:t>Effectiveness is reported at four levels: participation and reaction; knowledge gain through pre- and post-assessment; behavioural change through on-the-job observation against the checklists supervisors use; and organisational indicators. The fourth depends on hospital-held complaint and feedback data, so improvement there cannot be attributed to training alone. We report movement rather than guarantee it.</w:t>
      </w:r>
    </w:p>
    <w:p>
      <w:pPr>
        <w:keepNext/>
        <w:spacing w:before="160" w:after="70"/>
      </w:pPr>
      <w:r>
        <w:rPr>
          <w:rFonts w:ascii="Playfair Display" w:hAnsi="Playfair Display" w:cs="Playfair Display" w:eastAsia="Playfair Display"/>
          <w:b/>
          <w:i w:val="0"/>
          <w:color w:val="B08930"/>
          <w:sz w:val="17"/>
        </w:rPr>
        <w:t xml:space="preserve">06   </w:t>
      </w:r>
      <w:r>
        <w:rPr>
          <w:rFonts w:ascii="Inter" w:hAnsi="Inter" w:cs="Inter" w:eastAsia="Inter"/>
          <w:b/>
          <w:i w:val="0"/>
          <w:color w:val="937425"/>
          <w:sz w:val="14"/>
          <w:spacing w:val="44"/>
        </w:rPr>
        <w:t>WHAT WE NEED, AND IN CLOSING</w:t>
      </w:r>
    </w:p>
    <w:p>
      <w:pPr>
        <w:keepNext/>
        <w:spacing w:before="0" w:after="120" w:line="269" w:lineRule="auto"/>
      </w:pPr>
      <w:r>
        <w:rPr>
          <w:rFonts w:ascii="Playfair Display" w:hAnsi="Playfair Display" w:cs="Playfair Display" w:eastAsia="Playfair Display"/>
          <w:b/>
          <w:i w:val="0"/>
          <w:color w:val="201C15"/>
          <w:sz w:val="28"/>
        </w:rPr>
        <w:t>Developing People Who Care For People</w:t>
      </w:r>
    </w:p>
    <w:p>
      <w:pPr>
        <w:spacing w:before="0" w:after="110" w:line="300" w:lineRule="auto"/>
        <w:jc w:val="both"/>
      </w:pPr>
      <w:r>
        <w:rPr>
          <w:rFonts w:ascii="Inter" w:hAnsi="Inter" w:cs="Inter" w:eastAsia="Inter"/>
          <w:b w:val="0"/>
          <w:i w:val="0"/>
          <w:color w:val="555149"/>
          <w:sz w:val="19"/>
        </w:rPr>
        <w:t>What we would need from the hospital:</w:t>
      </w:r>
    </w:p>
    <w:p>
      <w:pPr>
        <w:tabs>
          <w:tab w:pos="403" w:val="left"/>
        </w:tabs>
        <w:spacing w:before="0" w:after="80" w:line="314" w:lineRule="auto"/>
        <w:ind w:left="403" w:hanging="403"/>
      </w:pPr>
      <w:r>
        <w:rPr>
          <w:rFonts w:ascii="Inter" w:hAnsi="Inter" w:cs="Inter" w:eastAsia="Inter"/>
          <w:b/>
          <w:i w:val="0"/>
          <w:color w:val="B08930"/>
          <w:sz w:val="19"/>
        </w:rPr>
        <w:t>–</w:t>
      </w:r>
      <w:r>
        <w:rPr>
          <w:rFonts w:ascii="Inter" w:hAnsi="Inter" w:cs="Inter" w:eastAsia="Inter"/>
          <w:b w:val="0"/>
          <w:i w:val="0"/>
          <w:color w:val="555149"/>
          <w:sz w:val="19"/>
        </w:rPr>
        <w:tab/>
      </w:r>
      <w:r>
        <w:rPr>
          <w:rFonts w:ascii="Inter" w:hAnsi="Inter" w:cs="Inter" w:eastAsia="Inter"/>
          <w:b w:val="0"/>
          <w:i w:val="0"/>
          <w:color w:val="555149"/>
          <w:sz w:val="19"/>
        </w:rPr>
        <w:t>A single point of contact from HR or L&amp;D, and confirmed batch nominations ahead of each module block</w:t>
      </w:r>
    </w:p>
    <w:p>
      <w:pPr>
        <w:tabs>
          <w:tab w:pos="403" w:val="left"/>
        </w:tabs>
        <w:spacing w:before="0" w:after="80" w:line="314" w:lineRule="auto"/>
        <w:ind w:left="403" w:hanging="403"/>
      </w:pPr>
      <w:r>
        <w:rPr>
          <w:rFonts w:ascii="Inter" w:hAnsi="Inter" w:cs="Inter" w:eastAsia="Inter"/>
          <w:b/>
          <w:i w:val="0"/>
          <w:color w:val="B08930"/>
          <w:sz w:val="19"/>
        </w:rPr>
        <w:t>–</w:t>
      </w:r>
      <w:r>
        <w:rPr>
          <w:rFonts w:ascii="Inter" w:hAnsi="Inter" w:cs="Inter" w:eastAsia="Inter"/>
          <w:b w:val="0"/>
          <w:i w:val="0"/>
          <w:color w:val="555149"/>
          <w:sz w:val="19"/>
        </w:rPr>
        <w:tab/>
      </w:r>
      <w:r>
        <w:rPr>
          <w:rFonts w:ascii="Inter" w:hAnsi="Inter" w:cs="Inter" w:eastAsia="Inter"/>
          <w:b w:val="0"/>
          <w:i w:val="0"/>
          <w:color w:val="555149"/>
          <w:sz w:val="19"/>
        </w:rPr>
        <w:t>Participants released for the full four hours, and a training room with projection for up to 30</w:t>
      </w:r>
    </w:p>
    <w:p>
      <w:pPr>
        <w:tabs>
          <w:tab w:pos="403" w:val="left"/>
        </w:tabs>
        <w:spacing w:before="0" w:after="80" w:line="314" w:lineRule="auto"/>
        <w:ind w:left="403" w:hanging="403"/>
      </w:pPr>
      <w:r>
        <w:rPr>
          <w:rFonts w:ascii="Inter" w:hAnsi="Inter" w:cs="Inter" w:eastAsia="Inter"/>
          <w:b/>
          <w:i w:val="0"/>
          <w:color w:val="B08930"/>
          <w:sz w:val="19"/>
        </w:rPr>
        <w:t>–</w:t>
      </w:r>
      <w:r>
        <w:rPr>
          <w:rFonts w:ascii="Inter" w:hAnsi="Inter" w:cs="Inter" w:eastAsia="Inter"/>
          <w:b w:val="0"/>
          <w:i w:val="0"/>
          <w:color w:val="555149"/>
          <w:sz w:val="19"/>
        </w:rPr>
        <w:tab/>
      </w:r>
      <w:r>
        <w:rPr>
          <w:rFonts w:ascii="Inter" w:hAnsi="Inter" w:cs="Inter" w:eastAsia="Inter"/>
          <w:b w:val="0"/>
          <w:i w:val="0"/>
          <w:color w:val="555149"/>
          <w:sz w:val="19"/>
        </w:rPr>
        <w:t>Access to anonymised patient-feedback and complaint themes for case studies, and permission for on-the-job observation</w:t>
      </w:r>
    </w:p>
    <w:p>
      <w:pPr>
        <w:tabs>
          <w:tab w:pos="403" w:val="left"/>
        </w:tabs>
        <w:spacing w:before="0" w:after="80" w:line="314" w:lineRule="auto"/>
        <w:ind w:left="403" w:hanging="403"/>
      </w:pPr>
      <w:r>
        <w:rPr>
          <w:rFonts w:ascii="Inter" w:hAnsi="Inter" w:cs="Inter" w:eastAsia="Inter"/>
          <w:b/>
          <w:i w:val="0"/>
          <w:color w:val="B08930"/>
          <w:sz w:val="19"/>
        </w:rPr>
        <w:t>–</w:t>
      </w:r>
      <w:r>
        <w:rPr>
          <w:rFonts w:ascii="Inter" w:hAnsi="Inter" w:cs="Inter" w:eastAsia="Inter"/>
          <w:b w:val="0"/>
          <w:i w:val="0"/>
          <w:color w:val="555149"/>
          <w:sz w:val="19"/>
        </w:rPr>
        <w:tab/>
      </w:r>
      <w:r>
        <w:rPr>
          <w:rFonts w:ascii="Inter" w:hAnsi="Inter" w:cs="Inter" w:eastAsia="Inter"/>
          <w:b w:val="0"/>
          <w:i w:val="0"/>
          <w:color w:val="555149"/>
          <w:sz w:val="19"/>
        </w:rPr>
        <w:t>Nominated subject-matter experts for clinical, statutory and policy content, plus the hospital's own SOPs and service standards</w:t>
      </w:r>
    </w:p>
    <w:p>
      <w:pPr>
        <w:tabs>
          <w:tab w:pos="403" w:val="left"/>
        </w:tabs>
        <w:spacing w:before="0" w:after="80" w:line="314" w:lineRule="auto"/>
        <w:ind w:left="403" w:hanging="403"/>
      </w:pPr>
      <w:r>
        <w:rPr>
          <w:rFonts w:ascii="Inter" w:hAnsi="Inter" w:cs="Inter" w:eastAsia="Inter"/>
          <w:b/>
          <w:i w:val="0"/>
          <w:color w:val="B08930"/>
          <w:sz w:val="19"/>
        </w:rPr>
        <w:t>–</w:t>
      </w:r>
      <w:r>
        <w:rPr>
          <w:rFonts w:ascii="Inter" w:hAnsi="Inter" w:cs="Inter" w:eastAsia="Inter"/>
          <w:b w:val="0"/>
          <w:i w:val="0"/>
          <w:color w:val="555149"/>
          <w:sz w:val="19"/>
        </w:rPr>
        <w:tab/>
      </w:r>
      <w:r>
        <w:rPr>
          <w:rFonts w:ascii="Inter" w:hAnsi="Inter" w:cs="Inter" w:eastAsia="Inter"/>
          <w:b w:val="0"/>
          <w:i w:val="0"/>
          <w:color w:val="555149"/>
          <w:sz w:val="19"/>
        </w:rPr>
        <w:t>The hospital's TAN, the TDS section and rate it will apply, the Form 16A quarterly certificate, and the legal entity name for invoicing</w:t>
      </w:r>
    </w:p>
    <w:p>
      <w:pPr>
        <w:spacing w:before="0" w:after="110" w:line="300" w:lineRule="auto"/>
        <w:jc w:val="both"/>
      </w:pPr>
      <w:r>
        <w:rPr>
          <w:rFonts w:ascii="Inter" w:hAnsi="Inter" w:cs="Inter" w:eastAsia="Inter"/>
          <w:b w:val="0"/>
          <w:i w:val="0"/>
          <w:color w:val="555149"/>
          <w:sz w:val="19"/>
        </w:rPr>
        <w:t>The calendar is confirmed jointly before commencement, and sessions missed for hospital reasons are rescheduled within the engagement window where possible. Hospital data is treated as confidential.</w:t>
      </w:r>
    </w:p>
    <w:p>
      <w:pPr>
        <w:spacing w:before="0" w:after="110" w:line="300" w:lineRule="auto"/>
        <w:jc w:val="both"/>
      </w:pPr>
      <w:r>
        <w:rPr>
          <w:rFonts w:ascii="Inter" w:hAnsi="Inter" w:cs="Inter" w:eastAsia="Inter"/>
          <w:b w:val="0"/>
          <w:i w:val="0"/>
          <w:color w:val="555149"/>
          <w:sz w:val="19"/>
        </w:rPr>
        <w:t>A programme of this kind supports more confident employees, a more consistent patient experience, better complaint handling and service recovery, improved teamwork, stronger accountability, more effective supervisors, and a culture of continuous learning.</w:t>
      </w:r>
    </w:p>
    <w:p>
      <w:pPr>
        <w:spacing w:before="100" w:after="120" w:line="312" w:lineRule="auto"/>
        <w:jc w:val="center"/>
      </w:pPr>
      <w:r>
        <w:rPr>
          <w:rFonts w:ascii="Playfair Display" w:hAnsi="Playfair Display" w:cs="Playfair Display" w:eastAsia="Playfair Display"/>
          <w:b/>
          <w:i/>
          <w:color w:val="B08930"/>
          <w:sz w:val="24"/>
        </w:rPr>
        <w:t>Competent. Compassionate. Confident. Accountable. Patient-First.</w:t>
      </w:r>
    </w:p>
    <w:p>
      <w:pPr>
        <w:spacing w:before="0" w:after="110" w:line="300" w:lineRule="auto"/>
        <w:jc w:val="both"/>
      </w:pPr>
      <w:r>
        <w:rPr>
          <w:rFonts w:ascii="Inter" w:hAnsi="Inter" w:cs="Inter" w:eastAsia="Inter"/>
          <w:b w:val="0"/>
          <w:i w:val="0"/>
          <w:color w:val="555149"/>
          <w:sz w:val="19"/>
        </w:rPr>
        <w:t>Levitatte brings a founder with more than twenty-five years in behavioural, communication and service capability building, grounded in NLP and organisational behavioural psychology, with prior healthcare engagements at Fortis and Cloud9 Hospitals. We would welcome the chance to walk your team through this in person and to adjust the design in light of what you know about your own floors.</w:t>
      </w:r>
    </w:p>
    <w:p>
      <w:pPr>
        <w:spacing w:before="100" w:after="120"/>
      </w:pPr>
      <w:r>
        <w:rPr>
          <w:rFonts w:ascii="Inter" w:hAnsi="Inter" w:cs="Inter" w:eastAsia="Inter"/>
          <w:b/>
          <w:i w:val="0"/>
          <w:color w:val="201C15"/>
          <w:sz w:val="17"/>
          <w:spacing w:val="12"/>
        </w:rPr>
        <w:t>Kavitha Pillai   ·   Managing Director &amp; Head of Training   ·   +91 7411 099 183   ·   kavitha.pillai@levitatte.com   ·   www.levitatte.com</w:t>
      </w:r>
    </w:p>
    <w:p>
      <w:pPr>
        <w:spacing w:before="120" w:after="0" w:line="307" w:lineRule="auto"/>
        <w:ind w:left="230"/>
        <w:pBdr>
          <w:left w:val="single" w:sz="16" w:space="10" w:color="B08930"/>
        </w:pBdr>
      </w:pPr>
      <w:r>
        <w:rPr>
          <w:rFonts w:ascii="Inter" w:hAnsi="Inter" w:cs="Inter" w:eastAsia="Inter"/>
          <w:b/>
          <w:i w:val="0"/>
          <w:color w:val="937425"/>
          <w:sz w:val="13"/>
          <w:spacing w:val="32"/>
        </w:rPr>
        <w:t xml:space="preserve">NOTE   </w:t>
      </w:r>
      <w:r>
        <w:rPr>
          <w:rFonts w:ascii="Inter" w:hAnsi="Inter" w:cs="Inter" w:eastAsia="Inter"/>
          <w:b w:val="0"/>
          <w:i/>
          <w:color w:val="555149"/>
          <w:sz w:val="17"/>
        </w:rPr>
        <w:t>Clinical, statutory and policy-specific training content will be developed or delivered in coordination with authorised hospital representatives and subject-matter experts.</w:t>
      </w:r>
    </w:p>
    <w:sectPr w:rsidR="00FC693F" w:rsidRPr="0006063C" w:rsidSect="00034616">
      <w:footerReference w:type="default" r:id="rId9"/>
      <w:pgSz w:w="11909" w:h="16834"/>
      <w:pgMar w:top="1037" w:right="1152" w:bottom="979" w:left="1152" w:header="720"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173" w:val="right"/>
      </w:tabs>
      <w:spacing w:before="0" w:after="0"/>
      <w:pBdr>
        <w:top w:val="single" w:sz="6" w:space="8" w:color="DDD7C8"/>
      </w:pBdr>
    </w:pPr>
    <w:r/>
    <w:r>
      <w:rPr>
        <w:rFonts w:ascii="Inter" w:hAnsi="Inter" w:cs="Inter" w:eastAsia="Inter"/>
        <w:b w:val="0"/>
        <w:i w:val="0"/>
        <w:color w:val="8A867C"/>
        <w:sz w:val="15"/>
        <w:spacing w:val="4"/>
      </w:rPr>
      <w:t>LEVITATTE LEARNING &amp; DEVELOPMENT     ·     PROPOSAL FOR DR. RELA INSTITUTE &amp; MEDICAL CENTRE</w:t>
    </w:r>
    <w:r>
      <w:tab/>
    </w:r>
    <w:r>
      <w:rPr>
        <w:rFonts w:ascii="Inter" w:hAnsi="Inter" w:cs="Inter" w:eastAsia="Inter"/>
        <w:b w:val="0"/>
        <w:i w:val="0"/>
        <w:color w:val="8A867C"/>
        <w:sz w:val="15"/>
      </w:rPr>
      <w:fldChar w:fldCharType="begin"/>
    </w:r>
    <w:r>
      <w:rPr>
        <w:rFonts w:ascii="Inter" w:hAnsi="Inter" w:cs="Inter" w:eastAsia="Inter"/>
        <w:b w:val="0"/>
        <w:i w:val="0"/>
        <w:color w:val="8A867C"/>
        <w:sz w:val="15"/>
      </w:rPr>
      <w:instrText xml:space="preserve">PAGE</w:instrText>
    </w:r>
    <w:r>
      <w:rPr>
        <w:rFonts w:ascii="Inter" w:hAnsi="Inter" w:cs="Inter" w:eastAsia="Inter"/>
        <w:b w:val="0"/>
        <w:i w:val="0"/>
        <w:color w:val="8A867C"/>
        <w:sz w:val="15"/>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0"/>
    </w:pPr>
    <w:rPr>
      <w:rFonts w:ascii="Inter" w:hAnsi="Inter"/>
      <w:color w:val="555149"/>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