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
        <w:jc w:val="center"/>
      </w:pPr>
      <w:r>
        <w:rPr>
          <w:rFonts w:ascii="Times New Roman" w:cs="Times New Roman" w:eastAsia="Times New Roman" w:hAnsi="Times New Roman"/>
          <w:b/>
          <w:bCs/>
          <w:color w:val="1F2A44"/>
          <w:sz w:val="52"/>
          <w:szCs w:val="52"/>
        </w:rPr>
        <w:t xml:space="preserve">NUNMATHI</w:t>
      </w:r>
    </w:p>
    <w:p>
      <w:pPr>
        <w:spacing w:after="60"/>
        <w:jc w:val="center"/>
      </w:pPr>
      <w:r>
        <w:rPr>
          <w:b/>
          <w:bCs/>
          <w:color w:val="1F2A44"/>
          <w:sz w:val="30"/>
          <w:szCs w:val="30"/>
        </w:rPr>
        <w:t xml:space="preserve">AI-Powered IPsec VPN Protocol Analyzer and Security Assessment Framework</w:t>
      </w:r>
    </w:p>
    <w:p>
      <w:pPr>
        <w:spacing w:after="240"/>
        <w:jc w:val="center"/>
      </w:pPr>
      <w:r>
        <w:rPr>
          <w:i/>
          <w:iCs/>
          <w:color w:val="595959"/>
          <w:sz w:val="22"/>
          <w:szCs w:val="22"/>
        </w:rPr>
        <w:t xml:space="preserve">Passive, key-less assessment of IPsec tunnels through protocol inference, ESP cipher geometry and explainable machine learning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none" w:color="FFFFFF" w:sz="0"/>
              <w:left w:val="none" w:color="FFFFFF" w:sz="0"/>
              <w:bottom w:val="none" w:color="FFFFFF" w:sz="0"/>
              <w:right w:val="none" w:color="FFFFFF" w:sz="0"/>
            </w:tcBorders>
            <w:tcMar>
              <w:top w:type="dxa" w:w="70"/>
              <w:left w:type="dxa" w:w="110"/>
              <w:bottom w:type="dxa" w:w="70"/>
              <w:right w:type="dxa" w:w="110"/>
            </w:tcMar>
          </w:tcPr>
          <w:p>
            <w:pPr>
              <w:spacing w:after="0" w:line="252"/>
            </w:pPr>
            <w:r>
              <w:rPr>
                <w:b/>
                <w:bCs/>
                <w:sz w:val="21"/>
                <w:szCs w:val="21"/>
              </w:rPr>
              <w:t xml:space="preserve">Problem Statement ID:</w:t>
            </w:r>
          </w:p>
        </w:tc>
        <w:tc>
          <w:tcPr>
            <w:tcW w:type="dxa" w:w="6026"/>
            <w:tcBorders>
              <w:top w:val="none" w:color="FFFFFF" w:sz="0"/>
              <w:left w:val="none" w:color="FFFFFF" w:sz="0"/>
              <w:bottom w:val="none" w:color="FFFFFF" w:sz="0"/>
              <w:right w:val="none" w:color="FFFFFF" w:sz="0"/>
            </w:tcBorders>
            <w:tcMar>
              <w:top w:type="dxa" w:w="70"/>
              <w:left w:type="dxa" w:w="110"/>
              <w:bottom w:type="dxa" w:w="70"/>
              <w:right w:type="dxa" w:w="110"/>
            </w:tcMar>
          </w:tcPr>
          <w:p>
            <w:pPr>
              <w:spacing w:after="0" w:line="252"/>
            </w:pPr>
            <w:r>
              <w:rPr>
                <w:sz w:val="21"/>
                <w:szCs w:val="21"/>
              </w:rPr>
              <w:t xml:space="preserve">SIH26160</w:t>
            </w:r>
          </w:p>
        </w:tc>
      </w:tr>
      <w:tr>
        <w:tc>
          <w:tcPr>
            <w:tcW w:type="dxa" w:w="3000"/>
            <w:tcBorders>
              <w:top w:val="none" w:color="FFFFFF" w:sz="0"/>
              <w:left w:val="none" w:color="FFFFFF" w:sz="0"/>
              <w:bottom w:val="none" w:color="FFFFFF" w:sz="0"/>
              <w:right w:val="none" w:color="FFFFFF" w:sz="0"/>
            </w:tcBorders>
            <w:tcMar>
              <w:top w:type="dxa" w:w="70"/>
              <w:left w:type="dxa" w:w="110"/>
              <w:bottom w:type="dxa" w:w="70"/>
              <w:right w:type="dxa" w:w="110"/>
            </w:tcMar>
          </w:tcPr>
          <w:p>
            <w:pPr>
              <w:spacing w:after="0" w:line="252"/>
            </w:pPr>
            <w:r>
              <w:rPr>
                <w:b/>
                <w:bCs/>
                <w:sz w:val="21"/>
                <w:szCs w:val="21"/>
              </w:rPr>
              <w:t xml:space="preserve">Problem Statement Title:</w:t>
            </w:r>
          </w:p>
        </w:tc>
        <w:tc>
          <w:tcPr>
            <w:tcW w:type="dxa" w:w="6026"/>
            <w:tcBorders>
              <w:top w:val="none" w:color="FFFFFF" w:sz="0"/>
              <w:left w:val="none" w:color="FFFFFF" w:sz="0"/>
              <w:bottom w:val="none" w:color="FFFFFF" w:sz="0"/>
              <w:right w:val="none" w:color="FFFFFF" w:sz="0"/>
            </w:tcBorders>
            <w:tcMar>
              <w:top w:type="dxa" w:w="70"/>
              <w:left w:type="dxa" w:w="110"/>
              <w:bottom w:type="dxa" w:w="70"/>
              <w:right w:type="dxa" w:w="110"/>
            </w:tcMar>
          </w:tcPr>
          <w:p>
            <w:pPr>
              <w:spacing w:after="0" w:line="252"/>
            </w:pPr>
            <w:r>
              <w:rPr>
                <w:sz w:val="21"/>
                <w:szCs w:val="21"/>
              </w:rPr>
              <w:t xml:space="preserve">AI-Powered IPsec VPN Protocol Analyzer and Security Assessment Framework</w:t>
            </w:r>
          </w:p>
        </w:tc>
      </w:tr>
      <w:tr>
        <w:tc>
          <w:tcPr>
            <w:tcW w:type="dxa" w:w="3000"/>
            <w:tcBorders>
              <w:top w:val="none" w:color="FFFFFF" w:sz="0"/>
              <w:left w:val="none" w:color="FFFFFF" w:sz="0"/>
              <w:bottom w:val="none" w:color="FFFFFF" w:sz="0"/>
              <w:right w:val="none" w:color="FFFFFF" w:sz="0"/>
            </w:tcBorders>
            <w:tcMar>
              <w:top w:type="dxa" w:w="70"/>
              <w:left w:type="dxa" w:w="110"/>
              <w:bottom w:type="dxa" w:w="70"/>
              <w:right w:type="dxa" w:w="110"/>
            </w:tcMar>
          </w:tcPr>
          <w:p>
            <w:pPr>
              <w:spacing w:after="0" w:line="252"/>
            </w:pPr>
            <w:r>
              <w:rPr>
                <w:b/>
                <w:bCs/>
                <w:sz w:val="21"/>
                <w:szCs w:val="21"/>
              </w:rPr>
              <w:t xml:space="preserve">Theme:</w:t>
            </w:r>
          </w:p>
        </w:tc>
        <w:tc>
          <w:tcPr>
            <w:tcW w:type="dxa" w:w="6026"/>
            <w:tcBorders>
              <w:top w:val="none" w:color="FFFFFF" w:sz="0"/>
              <w:left w:val="none" w:color="FFFFFF" w:sz="0"/>
              <w:bottom w:val="none" w:color="FFFFFF" w:sz="0"/>
              <w:right w:val="none" w:color="FFFFFF" w:sz="0"/>
            </w:tcBorders>
            <w:tcMar>
              <w:top w:type="dxa" w:w="70"/>
              <w:left w:type="dxa" w:w="110"/>
              <w:bottom w:type="dxa" w:w="70"/>
              <w:right w:type="dxa" w:w="110"/>
            </w:tcMar>
          </w:tcPr>
          <w:p>
            <w:pPr>
              <w:spacing w:after="0" w:line="252"/>
            </w:pPr>
            <w:r>
              <w:rPr>
                <w:sz w:val="21"/>
                <w:szCs w:val="21"/>
              </w:rPr>
              <w:t xml:space="preserve">Blockchain &amp; Cybersecurity</w:t>
            </w:r>
          </w:p>
        </w:tc>
      </w:tr>
      <w:tr>
        <w:tc>
          <w:tcPr>
            <w:tcW w:type="dxa" w:w="3000"/>
            <w:tcBorders>
              <w:top w:val="none" w:color="FFFFFF" w:sz="0"/>
              <w:left w:val="none" w:color="FFFFFF" w:sz="0"/>
              <w:bottom w:val="none" w:color="FFFFFF" w:sz="0"/>
              <w:right w:val="none" w:color="FFFFFF" w:sz="0"/>
            </w:tcBorders>
            <w:tcMar>
              <w:top w:type="dxa" w:w="70"/>
              <w:left w:type="dxa" w:w="110"/>
              <w:bottom w:type="dxa" w:w="70"/>
              <w:right w:type="dxa" w:w="110"/>
            </w:tcMar>
          </w:tcPr>
          <w:p>
            <w:pPr>
              <w:spacing w:after="0" w:line="252"/>
            </w:pPr>
            <w:r>
              <w:rPr>
                <w:b/>
                <w:bCs/>
                <w:sz w:val="21"/>
                <w:szCs w:val="21"/>
              </w:rPr>
              <w:t xml:space="preserve">PS Category:</w:t>
            </w:r>
          </w:p>
        </w:tc>
        <w:tc>
          <w:tcPr>
            <w:tcW w:type="dxa" w:w="6026"/>
            <w:tcBorders>
              <w:top w:val="none" w:color="FFFFFF" w:sz="0"/>
              <w:left w:val="none" w:color="FFFFFF" w:sz="0"/>
              <w:bottom w:val="none" w:color="FFFFFF" w:sz="0"/>
              <w:right w:val="none" w:color="FFFFFF" w:sz="0"/>
            </w:tcBorders>
            <w:tcMar>
              <w:top w:type="dxa" w:w="70"/>
              <w:left w:type="dxa" w:w="110"/>
              <w:bottom w:type="dxa" w:w="70"/>
              <w:right w:type="dxa" w:w="110"/>
            </w:tcMar>
          </w:tcPr>
          <w:p>
            <w:pPr>
              <w:spacing w:after="0" w:line="252"/>
            </w:pPr>
            <w:r>
              <w:rPr>
                <w:sz w:val="21"/>
                <w:szCs w:val="21"/>
              </w:rPr>
              <w:t xml:space="preserve">Software</w:t>
            </w:r>
          </w:p>
        </w:tc>
      </w:tr>
      <w:tr>
        <w:tc>
          <w:tcPr>
            <w:tcW w:type="dxa" w:w="3000"/>
            <w:tcBorders>
              <w:top w:val="none" w:color="FFFFFF" w:sz="0"/>
              <w:left w:val="none" w:color="FFFFFF" w:sz="0"/>
              <w:bottom w:val="none" w:color="FFFFFF" w:sz="0"/>
              <w:right w:val="none" w:color="FFFFFF" w:sz="0"/>
            </w:tcBorders>
            <w:tcMar>
              <w:top w:type="dxa" w:w="70"/>
              <w:left w:type="dxa" w:w="110"/>
              <w:bottom w:type="dxa" w:w="70"/>
              <w:right w:type="dxa" w:w="110"/>
            </w:tcMar>
          </w:tcPr>
          <w:p>
            <w:pPr>
              <w:spacing w:after="0" w:line="252"/>
            </w:pPr>
            <w:r>
              <w:rPr>
                <w:b/>
                <w:bCs/>
                <w:sz w:val="21"/>
                <w:szCs w:val="21"/>
              </w:rPr>
              <w:t xml:space="preserve">Nodal Organization:</w:t>
            </w:r>
          </w:p>
        </w:tc>
        <w:tc>
          <w:tcPr>
            <w:tcW w:type="dxa" w:w="6026"/>
            <w:tcBorders>
              <w:top w:val="none" w:color="FFFFFF" w:sz="0"/>
              <w:left w:val="none" w:color="FFFFFF" w:sz="0"/>
              <w:bottom w:val="none" w:color="FFFFFF" w:sz="0"/>
              <w:right w:val="none" w:color="FFFFFF" w:sz="0"/>
            </w:tcBorders>
            <w:tcMar>
              <w:top w:type="dxa" w:w="70"/>
              <w:left w:type="dxa" w:w="110"/>
              <w:bottom w:type="dxa" w:w="70"/>
              <w:right w:type="dxa" w:w="110"/>
            </w:tcMar>
          </w:tcPr>
          <w:p>
            <w:pPr>
              <w:spacing w:after="0" w:line="252"/>
            </w:pPr>
            <w:r>
              <w:rPr>
                <w:sz w:val="21"/>
                <w:szCs w:val="21"/>
              </w:rPr>
              <w:t xml:space="preserve">National Technical Research Organisation (NTRO)</w:t>
            </w:r>
          </w:p>
        </w:tc>
      </w:tr>
      <w:tr>
        <w:tc>
          <w:tcPr>
            <w:tcW w:type="dxa" w:w="3000"/>
            <w:tcBorders>
              <w:top w:val="none" w:color="FFFFFF" w:sz="0"/>
              <w:left w:val="none" w:color="FFFFFF" w:sz="0"/>
              <w:bottom w:val="none" w:color="FFFFFF" w:sz="0"/>
              <w:right w:val="none" w:color="FFFFFF" w:sz="0"/>
            </w:tcBorders>
            <w:tcMar>
              <w:top w:type="dxa" w:w="70"/>
              <w:left w:type="dxa" w:w="110"/>
              <w:bottom w:type="dxa" w:w="70"/>
              <w:right w:type="dxa" w:w="110"/>
            </w:tcMar>
          </w:tcPr>
          <w:p>
            <w:pPr>
              <w:spacing w:after="0" w:line="252"/>
            </w:pPr>
            <w:r>
              <w:rPr>
                <w:b/>
                <w:bCs/>
                <w:sz w:val="21"/>
                <w:szCs w:val="21"/>
              </w:rPr>
              <w:t xml:space="preserve">Team ID:</w:t>
            </w:r>
          </w:p>
        </w:tc>
        <w:tc>
          <w:tcPr>
            <w:tcW w:type="dxa" w:w="6026"/>
            <w:tcBorders>
              <w:top w:val="none" w:color="FFFFFF" w:sz="0"/>
              <w:left w:val="none" w:color="FFFFFF" w:sz="0"/>
              <w:bottom w:val="none" w:color="FFFFFF" w:sz="0"/>
              <w:right w:val="none" w:color="FFFFFF" w:sz="0"/>
            </w:tcBorders>
            <w:tcMar>
              <w:top w:type="dxa" w:w="70"/>
              <w:left w:type="dxa" w:w="110"/>
              <w:bottom w:type="dxa" w:w="70"/>
              <w:right w:type="dxa" w:w="110"/>
            </w:tcMar>
          </w:tcPr>
          <w:p>
            <w:pPr>
              <w:spacing w:after="0" w:line="252"/>
            </w:pPr>
            <w:r>
              <w:rPr>
                <w:sz w:val="21"/>
                <w:szCs w:val="21"/>
              </w:rPr>
              <w:t xml:space="preserve">135221</w:t>
            </w:r>
          </w:p>
        </w:tc>
      </w:tr>
      <w:tr>
        <w:tc>
          <w:tcPr>
            <w:tcW w:type="dxa" w:w="3000"/>
            <w:tcBorders>
              <w:top w:val="none" w:color="FFFFFF" w:sz="0"/>
              <w:left w:val="none" w:color="FFFFFF" w:sz="0"/>
              <w:bottom w:val="none" w:color="FFFFFF" w:sz="0"/>
              <w:right w:val="none" w:color="FFFFFF" w:sz="0"/>
            </w:tcBorders>
            <w:tcMar>
              <w:top w:type="dxa" w:w="70"/>
              <w:left w:type="dxa" w:w="110"/>
              <w:bottom w:type="dxa" w:w="70"/>
              <w:right w:type="dxa" w:w="110"/>
            </w:tcMar>
          </w:tcPr>
          <w:p>
            <w:pPr>
              <w:spacing w:after="0" w:line="252"/>
            </w:pPr>
            <w:r>
              <w:rPr>
                <w:b/>
                <w:bCs/>
                <w:sz w:val="21"/>
                <w:szCs w:val="21"/>
              </w:rPr>
              <w:t xml:space="preserve">Team Name:</w:t>
            </w:r>
          </w:p>
        </w:tc>
        <w:tc>
          <w:tcPr>
            <w:tcW w:type="dxa" w:w="6026"/>
            <w:tcBorders>
              <w:top w:val="none" w:color="FFFFFF" w:sz="0"/>
              <w:left w:val="none" w:color="FFFFFF" w:sz="0"/>
              <w:bottom w:val="none" w:color="FFFFFF" w:sz="0"/>
              <w:right w:val="none" w:color="FFFFFF" w:sz="0"/>
            </w:tcBorders>
            <w:tcMar>
              <w:top w:type="dxa" w:w="70"/>
              <w:left w:type="dxa" w:w="110"/>
              <w:bottom w:type="dxa" w:w="70"/>
              <w:right w:type="dxa" w:w="110"/>
            </w:tcMar>
          </w:tcPr>
          <w:p>
            <w:pPr>
              <w:spacing w:after="0" w:line="252"/>
            </w:pPr>
            <w:r>
              <w:rPr>
                <w:sz w:val="21"/>
                <w:szCs w:val="21"/>
              </w:rPr>
              <w:t xml:space="preserve">Bharat-GenNXT</w:t>
            </w:r>
          </w:p>
        </w:tc>
      </w:tr>
      <w:tr>
        <w:tc>
          <w:tcPr>
            <w:tcW w:type="dxa" w:w="3000"/>
            <w:tcBorders>
              <w:top w:val="none" w:color="FFFFFF" w:sz="0"/>
              <w:left w:val="none" w:color="FFFFFF" w:sz="0"/>
              <w:bottom w:val="none" w:color="FFFFFF" w:sz="0"/>
              <w:right w:val="none" w:color="FFFFFF" w:sz="0"/>
            </w:tcBorders>
            <w:tcMar>
              <w:top w:type="dxa" w:w="70"/>
              <w:left w:type="dxa" w:w="110"/>
              <w:bottom w:type="dxa" w:w="70"/>
              <w:right w:type="dxa" w:w="110"/>
            </w:tcMar>
          </w:tcPr>
          <w:p>
            <w:pPr>
              <w:spacing w:after="0" w:line="252"/>
            </w:pPr>
            <w:r>
              <w:rPr>
                <w:b/>
                <w:bCs/>
                <w:sz w:val="21"/>
                <w:szCs w:val="21"/>
              </w:rPr>
              <w:t xml:space="preserve">Solution Name:</w:t>
            </w:r>
          </w:p>
        </w:tc>
        <w:tc>
          <w:tcPr>
            <w:tcW w:type="dxa" w:w="6026"/>
            <w:tcBorders>
              <w:top w:val="none" w:color="FFFFFF" w:sz="0"/>
              <w:left w:val="none" w:color="FFFFFF" w:sz="0"/>
              <w:bottom w:val="none" w:color="FFFFFF" w:sz="0"/>
              <w:right w:val="none" w:color="FFFFFF" w:sz="0"/>
            </w:tcBorders>
            <w:tcMar>
              <w:top w:type="dxa" w:w="70"/>
              <w:left w:type="dxa" w:w="110"/>
              <w:bottom w:type="dxa" w:w="70"/>
              <w:right w:type="dxa" w:w="110"/>
            </w:tcMar>
          </w:tcPr>
          <w:p>
            <w:pPr>
              <w:spacing w:after="0" w:line="252"/>
            </w:pPr>
            <w:r>
              <w:rPr>
                <w:sz w:val="21"/>
                <w:szCs w:val="21"/>
              </w:rPr>
              <w:t xml:space="preserve">NUNMATHI: passive IPsec VPN analyzer (desktop application, v1.2.0)</w:t>
            </w:r>
          </w:p>
        </w:tc>
      </w:tr>
    </w:tbl>
    <w:p>
      <w:pPr>
        <w:pBdr>
          <w:bottom w:val="single" w:color="1F2A44" w:sz="6" w:space="4"/>
        </w:pBdr>
        <w:spacing w:after="200"/>
      </w:pPr>
    </w:p>
    <w:p>
      <w:pPr>
        <w:pStyle w:val="Heading1"/>
      </w:pPr>
      <w:r>
        <w:t xml:space="preserve">1. Introduction</w:t>
      </w:r>
    </w:p>
    <w:p>
      <w:pPr>
        <w:pStyle w:val="Heading2"/>
      </w:pPr>
      <w:r>
        <w:t xml:space="preserve">1.1 Background</w:t>
      </w:r>
    </w:p>
    <w:p>
      <w:pPr>
        <w:spacing w:after="120" w:line="276"/>
        <w:jc w:val="both"/>
      </w:pPr>
      <w:r>
        <w:t xml:space="preserve">IPsec VPNs carry the most sensitive traffic of government departments, defence networks, banks and critical-infrastructure operators: site-to-site links between offices, remote-access tunnels for field staff, and management planes of industrial control systems. The security of such a tunnel depends on dozens of negotiated parameters (IKE version and mode, Diffie-Hellman group, encryption and integrity transforms, Perfect Forward Secrecy, SA lifetimes, NAT traversal and fragmentation). A single legacy choice such as IKEv1 Aggressive Mode with a pre-shared key, a 1024-bit MODP group or ESP-NULL silently reduces an encrypted link to one that can be cracked offline or read in cleartext.</w:t>
      </w:r>
    </w:p>
    <w:p>
      <w:pPr>
        <w:spacing w:after="120" w:line="276"/>
        <w:jc w:val="both"/>
      </w:pPr>
      <w:r>
        <w:t xml:space="preserve">These parameters are fixed in device configuration files spread across many vendors, and they are rarely audited once a tunnel is up. Auditors often have no access to the gateways or their keys and can only observe packets on the wire. Existing tools such as Wireshark dissect individual packets but do not turn them into a security verdict, and vulnerability scanners actively probe the gateway, which is often not allowed on production links.</w:t>
      </w:r>
    </w:p>
    <w:p>
      <w:pPr>
        <w:pStyle w:val="Heading2"/>
      </w:pPr>
      <w:r>
        <w:t xml:space="preserve">1.2 Motivation</w:t>
      </w:r>
    </w:p>
    <w:p>
      <w:pPr>
        <w:spacing w:after="120" w:line="276"/>
        <w:jc w:val="both"/>
      </w:pPr>
      <w:r>
        <w:t xml:space="preserve">NTRO's problem statement asks for an analyzer that can assess IPsec VPN deployments from traffic alone, identify weak cryptography and misconfigurations, characterise what the encrypted traffic still reveals, and report in a form that both executives and engineers can act on. The motivation for </w:t>
      </w:r>
      <w:r>
        <w:rPr>
          <w:b/>
          <w:bCs/>
        </w:rPr>
        <w:t xml:space="preserve">NUNMATHI</w:t>
      </w:r>
      <w:r>
        <w:t xml:space="preserve"> is to give an auditor a single, offline-capable desktop application that:</w:t>
      </w:r>
    </w:p>
    <w:p>
      <w:pPr>
        <w:pStyle w:val="ListParagraph"/>
        <w:numPr>
          <w:ilvl w:val="0"/>
          <w:numId w:val="2"/>
        </w:numPr>
        <w:spacing w:after="80" w:line="264"/>
        <w:jc w:val="both"/>
      </w:pPr>
      <w:r>
        <w:rPr>
          <w:b/>
          <w:bCs/>
        </w:rPr>
        <w:t xml:space="preserve">Works without keys: </w:t>
      </w:r>
      <w:r>
        <w:t xml:space="preserve">draws every conclusion from cleartext IKE fields and from ESP packet lengths and timings, so it can be used on any capture, including third-party links.</w:t>
      </w:r>
    </w:p>
    <w:p>
      <w:pPr>
        <w:pStyle w:val="ListParagraph"/>
        <w:numPr>
          <w:ilvl w:val="0"/>
          <w:numId w:val="2"/>
        </w:numPr>
        <w:spacing w:after="80" w:line="264"/>
        <w:jc w:val="both"/>
      </w:pPr>
      <w:r>
        <w:rPr>
          <w:b/>
          <w:bCs/>
        </w:rPr>
        <w:t xml:space="preserve">Is explainable: </w:t>
      </w:r>
      <w:r>
        <w:t xml:space="preserve">every alert carries a rule ID, risk, confidence, evidence, solution and standard references, in the familiar OWASP ZAP style.</w:t>
      </w:r>
    </w:p>
    <w:p>
      <w:pPr>
        <w:pStyle w:val="ListParagraph"/>
        <w:numPr>
          <w:ilvl w:val="0"/>
          <w:numId w:val="2"/>
        </w:numPr>
        <w:spacing w:after="80" w:line="264"/>
        <w:jc w:val="both"/>
      </w:pPr>
      <w:r>
        <w:rPr>
          <w:b/>
          <w:bCs/>
        </w:rPr>
        <w:t xml:space="preserve">Closes the loop: </w:t>
      </w:r>
      <w:r>
        <w:t xml:space="preserve">a What-If digital twin shows the grade after a proposed change and emits ready-to-apply strongSwan, libreswan and Cisco IOS configuration.</w:t>
      </w:r>
    </w:p>
    <w:p>
      <w:pPr>
        <w:pStyle w:val="ListParagraph"/>
        <w:numPr>
          <w:ilvl w:val="0"/>
          <w:numId w:val="2"/>
        </w:numPr>
        <w:spacing w:after="80" w:line="264"/>
        <w:jc w:val="both"/>
      </w:pPr>
      <w:r>
        <w:rPr>
          <w:b/>
          <w:bCs/>
        </w:rPr>
        <w:t xml:space="preserve">Is deployable in air-gapped labs: </w:t>
      </w:r>
      <w:r>
        <w:t xml:space="preserve">a standalone native application for Windows and Debian/Ubuntu, with no web server, no cloud service and no open network port.</w:t>
      </w:r>
    </w:p>
    <w:p>
      <w:pPr>
        <w:pStyle w:val="Heading1"/>
      </w:pPr>
      <w:r>
        <w:t xml:space="preserve">2. Problem Statement</w:t>
      </w:r>
    </w:p>
    <w:p>
      <w:pPr>
        <w:spacing w:after="120" w:line="276"/>
        <w:jc w:val="both"/>
      </w:pPr>
      <w:r>
        <w:t xml:space="preserve">Organisations run large IPsec estates whose real security posture is unknown. The specific failure modes that NUNMATHI addresses are:</w:t>
      </w:r>
    </w:p>
    <w:p>
      <w:pPr>
        <w:pStyle w:val="ListParagraph"/>
        <w:numPr>
          <w:ilvl w:val="0"/>
          <w:numId w:val="2"/>
        </w:numPr>
        <w:spacing w:after="80" w:line="264"/>
        <w:jc w:val="both"/>
      </w:pPr>
      <w:r>
        <w:rPr>
          <w:b/>
          <w:bCs/>
        </w:rPr>
        <w:t xml:space="preserve">Legacy key exchange: </w:t>
      </w:r>
      <w:r>
        <w:t xml:space="preserve">IKEv1, Aggressive Mode with PSK (offline dictionary attack on HASH_R), MODP-768/1024/1536 groups below 112-bit security.</w:t>
      </w:r>
    </w:p>
    <w:p>
      <w:pPr>
        <w:pStyle w:val="ListParagraph"/>
        <w:numPr>
          <w:ilvl w:val="0"/>
          <w:numId w:val="2"/>
        </w:numPr>
        <w:spacing w:after="80" w:line="264"/>
        <w:jc w:val="both"/>
      </w:pPr>
      <w:r>
        <w:rPr>
          <w:b/>
          <w:bCs/>
        </w:rPr>
        <w:t xml:space="preserve">Weak or missing encryption: </w:t>
      </w:r>
      <w:r>
        <w:t xml:space="preserve">ESP-NULL (integrity only), 64-bit block ciphers such as 3DES vulnerable to Sweet32, MD5/SHA-1 integrity.</w:t>
      </w:r>
    </w:p>
    <w:p>
      <w:pPr>
        <w:pStyle w:val="ListParagraph"/>
        <w:numPr>
          <w:ilvl w:val="0"/>
          <w:numId w:val="2"/>
        </w:numPr>
        <w:spacing w:after="80" w:line="264"/>
        <w:jc w:val="both"/>
      </w:pPr>
      <w:r>
        <w:rPr>
          <w:b/>
          <w:bCs/>
        </w:rPr>
        <w:t xml:space="preserve">No forward secrecy: </w:t>
      </w:r>
      <w:r>
        <w:t xml:space="preserve">Child SA rekeys without a fresh key exchange, so one compromised IKE SA exposes every Child SA.</w:t>
      </w:r>
    </w:p>
    <w:p>
      <w:pPr>
        <w:pStyle w:val="ListParagraph"/>
        <w:numPr>
          <w:ilvl w:val="0"/>
          <w:numId w:val="2"/>
        </w:numPr>
        <w:spacing w:after="80" w:line="264"/>
        <w:jc w:val="both"/>
      </w:pPr>
      <w:r>
        <w:rPr>
          <w:b/>
          <w:bCs/>
        </w:rPr>
        <w:t xml:space="preserve">Over-long lifetimes: </w:t>
      </w:r>
      <w:r>
        <w:t xml:space="preserve">keys that stay in use for many hours and protect large volumes of data.</w:t>
      </w:r>
    </w:p>
    <w:p>
      <w:pPr>
        <w:pStyle w:val="ListParagraph"/>
        <w:numPr>
          <w:ilvl w:val="0"/>
          <w:numId w:val="2"/>
        </w:numPr>
        <w:spacing w:after="80" w:line="264"/>
        <w:jc w:val="both"/>
      </w:pPr>
      <w:r>
        <w:rPr>
          <w:b/>
          <w:bCs/>
        </w:rPr>
        <w:t xml:space="preserve">Denial of service: </w:t>
      </w:r>
      <w:r>
        <w:t xml:space="preserve">half-open IKE_SA_INIT floods against responders without cookies or rate limiting.</w:t>
      </w:r>
    </w:p>
    <w:p>
      <w:pPr>
        <w:pStyle w:val="ListParagraph"/>
        <w:numPr>
          <w:ilvl w:val="0"/>
          <w:numId w:val="2"/>
        </w:numPr>
        <w:spacing w:after="80" w:line="264"/>
        <w:jc w:val="both"/>
      </w:pPr>
      <w:r>
        <w:rPr>
          <w:b/>
          <w:bCs/>
        </w:rPr>
        <w:t xml:space="preserve">Metadata leakage: </w:t>
      </w:r>
      <w:r>
        <w:t xml:space="preserve">even with strong encryption, packet sizes and timings reveal whether a tunnel carries voice, video, web, chat or e-mail.</w:t>
      </w:r>
    </w:p>
    <w:p>
      <w:pPr>
        <w:pStyle w:val="ListParagraph"/>
        <w:numPr>
          <w:ilvl w:val="0"/>
          <w:numId w:val="2"/>
        </w:numPr>
        <w:spacing w:after="80" w:line="264"/>
        <w:jc w:val="both"/>
      </w:pPr>
      <w:r>
        <w:rPr>
          <w:b/>
          <w:bCs/>
        </w:rPr>
        <w:t xml:space="preserve">Quantum readiness: </w:t>
      </w:r>
      <w:r>
        <w:t xml:space="preserve">no visibility into whether hybrid post-quantum key exchange (RFC 9370 with ML-KEM) is in use.</w:t>
      </w:r>
    </w:p>
    <w:p>
      <w:pPr>
        <w:pStyle w:val="ListParagraph"/>
        <w:numPr>
          <w:ilvl w:val="0"/>
          <w:numId w:val="2"/>
        </w:numPr>
        <w:spacing w:after="80" w:line="264"/>
        <w:jc w:val="both"/>
      </w:pPr>
      <w:r>
        <w:rPr>
          <w:b/>
          <w:bCs/>
        </w:rPr>
        <w:t xml:space="preserve">No actionable output: </w:t>
      </w:r>
      <w:r>
        <w:t xml:space="preserve">packet dissectors show fields, not verdicts; results are not in a form that SOC tooling (SIEM/SOAR) or management can consume.</w:t>
      </w:r>
    </w:p>
    <w:p>
      <w:pPr>
        <w:pStyle w:val="Heading1"/>
      </w:pPr>
      <w:r>
        <w:t xml:space="preserve">3. Research Review &amp; Fundamentals</w:t>
      </w:r>
    </w:p>
    <w:p>
      <w:pPr>
        <w:pStyle w:val="Heading2"/>
      </w:pPr>
      <w:r>
        <w:t xml:space="preserve">3.1 IPsec Protocol Suite</w:t>
      </w:r>
    </w:p>
    <w:p>
      <w:pPr>
        <w:spacing w:after="120" w:line="276"/>
        <w:jc w:val="both"/>
      </w:pPr>
      <w:r>
        <w:t xml:space="preserve">IPsec consists of two layers. </w:t>
      </w:r>
      <w:r>
        <w:rPr>
          <w:b/>
          <w:bCs/>
        </w:rPr>
        <w:t xml:space="preserve">IKE</w:t>
      </w:r>
      <w:r>
        <w:t xml:space="preserve"> (Internet Key Exchange, UDP 500/4500) authenticates the peers and negotiates algorithms and keys; its first exchange (IKE_SA_INIT in IKEv2, Main or Aggressive Mode in IKEv1) is sent in cleartext and exposes the proposed and chosen transforms and the Diffie-Hellman group. </w:t>
      </w:r>
      <w:r>
        <w:rPr>
          <w:b/>
          <w:bCs/>
        </w:rPr>
        <w:t xml:space="preserve">ESP</w:t>
      </w:r>
      <w:r>
        <w:t xml:space="preserve"> (Encapsulating Security Payload, IP protocol 50) then carries the protected data. Each ESP packet has the layout SPI | Sequence | IV | Encrypted(payload | padding | pad length | next header) | ICV.</w:t>
      </w:r>
    </w:p>
    <w:p>
      <w:pPr>
        <w:pStyle w:val="Heading2"/>
      </w:pPr>
      <w:r>
        <w:t xml:space="preserve">3.2 Concepts Used by the Analyzer</w:t>
      </w:r>
    </w:p>
    <w:p>
      <w:pPr>
        <w:pStyle w:val="ListParagraph"/>
        <w:numPr>
          <w:ilvl w:val="0"/>
          <w:numId w:val="2"/>
        </w:numPr>
        <w:spacing w:after="80" w:line="264"/>
        <w:jc w:val="both"/>
      </w:pPr>
      <w:r>
        <w:rPr>
          <w:b/>
          <w:bCs/>
        </w:rPr>
        <w:t xml:space="preserve">ESP cipher geometry: </w:t>
      </w:r>
      <w:r>
        <w:t xml:space="preserve">block ciphers pad the encrypted part to the block size B, so every packet length of one SA satisfies a congruence determined by B, the IV size and the ICV size. Residues modulo 16, 8 and 4 separate AEAD/counter modes, 128-bit CBC and 64-bit CBC without any key.</w:t>
      </w:r>
    </w:p>
    <w:p>
      <w:pPr>
        <w:pStyle w:val="ListParagraph"/>
        <w:numPr>
          <w:ilvl w:val="0"/>
          <w:numId w:val="2"/>
        </w:numPr>
        <w:spacing w:after="80" w:line="264"/>
        <w:jc w:val="both"/>
      </w:pPr>
      <w:r>
        <w:rPr>
          <w:b/>
          <w:bCs/>
        </w:rPr>
        <w:t xml:space="preserve">PFS inference: </w:t>
      </w:r>
      <w:r>
        <w:t xml:space="preserve">the size of the encrypted CREATE_CHILD_SA request grows by about 8 bytes plus the KE payload when a fresh Diffie-Hellman exchange is included, which reveals PFS and the most likely group.</w:t>
      </w:r>
    </w:p>
    <w:p>
      <w:pPr>
        <w:pStyle w:val="ListParagraph"/>
        <w:numPr>
          <w:ilvl w:val="0"/>
          <w:numId w:val="2"/>
        </w:numPr>
        <w:spacing w:after="80" w:line="264"/>
        <w:jc w:val="both"/>
      </w:pPr>
      <w:r>
        <w:rPr>
          <w:b/>
          <w:bCs/>
        </w:rPr>
        <w:t xml:space="preserve">Traffic analysis: </w:t>
      </w:r>
      <w:r>
        <w:t xml:space="preserve">encryption hides content but not the shape of traffic; per-direction size percentiles, inter-arrival statistics, burstiness and periodicity identify the application class.</w:t>
      </w:r>
    </w:p>
    <w:p>
      <w:pPr>
        <w:pStyle w:val="ListParagraph"/>
        <w:numPr>
          <w:ilvl w:val="0"/>
          <w:numId w:val="2"/>
        </w:numPr>
        <w:spacing w:after="80" w:line="264"/>
        <w:jc w:val="both"/>
      </w:pPr>
      <w:r>
        <w:rPr>
          <w:b/>
          <w:bCs/>
        </w:rPr>
        <w:t xml:space="preserve">Conformal prediction: </w:t>
      </w:r>
      <w:r>
        <w:t xml:space="preserve">wraps the classifier so that it outputs a set of labels with a calibrated coverage guarantee (90 % target) instead of a single over-confident label.</w:t>
      </w:r>
    </w:p>
    <w:p>
      <w:pPr>
        <w:pStyle w:val="ListParagraph"/>
        <w:numPr>
          <w:ilvl w:val="0"/>
          <w:numId w:val="2"/>
        </w:numPr>
        <w:spacing w:after="80" w:line="264"/>
        <w:jc w:val="both"/>
      </w:pPr>
      <w:r>
        <w:rPr>
          <w:b/>
          <w:bCs/>
        </w:rPr>
        <w:t xml:space="preserve">Metadata Exposure Index (MEI): </w:t>
      </w:r>
      <w:r>
        <w:t xml:space="preserve">one minus the normalised entropy of the classifier's output; 1 means the application class is fully readable from ESP sizes and timings.</w:t>
      </w:r>
    </w:p>
    <w:p>
      <w:pPr>
        <w:pStyle w:val="Heading2"/>
      </w:pPr>
      <w:r>
        <w:t xml:space="preserve">3.3 Literature and Technical Survey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363"/>
        <w:gridCol w:w="3363"/>
      </w:tblGrid>
      <w:tr>
        <w:trPr>
          <w:tblHeader/>
        </w:trPr>
        <w:tc>
          <w:tcPr>
            <w:tcW w:type="dxa" w:w="2300"/>
            <w:tcBorders>
              <w:top w:val="single" w:color="B7BDC8" w:sz="4"/>
              <w:left w:val="single" w:color="B7BDC8" w:sz="4"/>
              <w:bottom w:val="single" w:color="B7BDC8" w:sz="4"/>
              <w:right w:val="single" w:color="B7BDC8" w:sz="4"/>
            </w:tcBorders>
            <w:shd w:fill="DCE3EE" w:color="auto" w:val="clear"/>
            <w:tcMar>
              <w:top w:type="dxa" w:w="70"/>
              <w:left w:type="dxa" w:w="110"/>
              <w:bottom w:type="dxa" w:w="70"/>
              <w:right w:type="dxa" w:w="110"/>
            </w:tcMar>
          </w:tcPr>
          <w:p>
            <w:pPr>
              <w:spacing w:after="0" w:line="252"/>
            </w:pPr>
            <w:r>
              <w:rPr>
                <w:b/>
                <w:bCs/>
                <w:sz w:val="19"/>
                <w:szCs w:val="19"/>
              </w:rPr>
              <w:t xml:space="preserve">Standard / Work</w:t>
            </w:r>
          </w:p>
        </w:tc>
        <w:tc>
          <w:tcPr>
            <w:tcW w:type="dxa" w:w="3363"/>
            <w:tcBorders>
              <w:top w:val="single" w:color="B7BDC8" w:sz="4"/>
              <w:left w:val="single" w:color="B7BDC8" w:sz="4"/>
              <w:bottom w:val="single" w:color="B7BDC8" w:sz="4"/>
              <w:right w:val="single" w:color="B7BDC8" w:sz="4"/>
            </w:tcBorders>
            <w:shd w:fill="DCE3EE" w:color="auto" w:val="clear"/>
            <w:tcMar>
              <w:top w:type="dxa" w:w="70"/>
              <w:left w:type="dxa" w:w="110"/>
              <w:bottom w:type="dxa" w:w="70"/>
              <w:right w:type="dxa" w:w="110"/>
            </w:tcMar>
          </w:tcPr>
          <w:p>
            <w:pPr>
              <w:spacing w:after="0" w:line="252"/>
            </w:pPr>
            <w:r>
              <w:rPr>
                <w:b/>
                <w:bCs/>
                <w:sz w:val="19"/>
                <w:szCs w:val="19"/>
              </w:rPr>
              <w:t xml:space="preserve">Relevance</w:t>
            </w:r>
          </w:p>
        </w:tc>
        <w:tc>
          <w:tcPr>
            <w:tcW w:type="dxa" w:w="3363"/>
            <w:tcBorders>
              <w:top w:val="single" w:color="B7BDC8" w:sz="4"/>
              <w:left w:val="single" w:color="B7BDC8" w:sz="4"/>
              <w:bottom w:val="single" w:color="B7BDC8" w:sz="4"/>
              <w:right w:val="single" w:color="B7BDC8" w:sz="4"/>
            </w:tcBorders>
            <w:shd w:fill="DCE3EE" w:color="auto" w:val="clear"/>
            <w:tcMar>
              <w:top w:type="dxa" w:w="70"/>
              <w:left w:type="dxa" w:w="110"/>
              <w:bottom w:type="dxa" w:w="70"/>
              <w:right w:type="dxa" w:w="110"/>
            </w:tcMar>
          </w:tcPr>
          <w:p>
            <w:pPr>
              <w:spacing w:after="0" w:line="252"/>
            </w:pPr>
            <w:r>
              <w:rPr>
                <w:b/>
                <w:bCs/>
                <w:sz w:val="19"/>
                <w:szCs w:val="19"/>
              </w:rPr>
              <w:t xml:space="preserve">Use in NUNMATHI</w:t>
            </w:r>
          </w:p>
        </w:tc>
      </w:tr>
      <w:tr>
        <w:trPr>
          <w:cantSplit/>
        </w:trPr>
        <w:tc>
          <w:tcPr>
            <w:tcW w:type="dxa" w:w="2300"/>
            <w:tcBorders>
              <w:top w:val="single" w:color="B7BDC8" w:sz="4"/>
              <w:left w:val="single" w:color="B7BDC8" w:sz="4"/>
              <w:bottom w:val="single" w:color="B7BDC8" w:sz="4"/>
              <w:right w:val="single" w:color="B7BDC8" w:sz="4"/>
            </w:tcBorders>
            <w:tcMar>
              <w:top w:type="dxa" w:w="70"/>
              <w:left w:type="dxa" w:w="110"/>
              <w:bottom w:type="dxa" w:w="70"/>
              <w:right w:type="dxa" w:w="110"/>
            </w:tcMar>
          </w:tcPr>
          <w:p>
            <w:pPr>
              <w:spacing w:after="0" w:line="252"/>
            </w:pPr>
            <w:r>
              <w:rPr>
                <w:sz w:val="19"/>
                <w:szCs w:val="19"/>
              </w:rPr>
              <w:t xml:space="preserve">RFC 7296 (IKEv2)</w:t>
            </w:r>
          </w:p>
        </w:tc>
        <w:tc>
          <w:tcPr>
            <w:tcW w:type="dxa" w:w="3363"/>
            <w:tcBorders>
              <w:top w:val="single" w:color="B7BDC8" w:sz="4"/>
              <w:left w:val="single" w:color="B7BDC8" w:sz="4"/>
              <w:bottom w:val="single" w:color="B7BDC8" w:sz="4"/>
              <w:right w:val="single" w:color="B7BDC8" w:sz="4"/>
            </w:tcBorders>
            <w:tcMar>
              <w:top w:type="dxa" w:w="70"/>
              <w:left w:type="dxa" w:w="110"/>
              <w:bottom w:type="dxa" w:w="70"/>
              <w:right w:type="dxa" w:w="110"/>
            </w:tcMar>
          </w:tcPr>
          <w:p>
            <w:pPr>
              <w:spacing w:after="0" w:line="252"/>
            </w:pPr>
            <w:r>
              <w:rPr>
                <w:sz w:val="19"/>
                <w:szCs w:val="19"/>
              </w:rPr>
              <w:t xml:space="preserve">Exchanges, payloads, rekeying, PFS</w:t>
            </w:r>
          </w:p>
        </w:tc>
        <w:tc>
          <w:tcPr>
            <w:tcW w:type="dxa" w:w="3363"/>
            <w:tcBorders>
              <w:top w:val="single" w:color="B7BDC8" w:sz="4"/>
              <w:left w:val="single" w:color="B7BDC8" w:sz="4"/>
              <w:bottom w:val="single" w:color="B7BDC8" w:sz="4"/>
              <w:right w:val="single" w:color="B7BDC8" w:sz="4"/>
            </w:tcBorders>
            <w:tcMar>
              <w:top w:type="dxa" w:w="70"/>
              <w:left w:type="dxa" w:w="110"/>
              <w:bottom w:type="dxa" w:w="70"/>
              <w:right w:type="dxa" w:w="110"/>
            </w:tcMar>
          </w:tcPr>
          <w:p>
            <w:pPr>
              <w:spacing w:after="0" w:line="252"/>
            </w:pPr>
            <w:r>
              <w:rPr>
                <w:sz w:val="19"/>
                <w:szCs w:val="19"/>
              </w:rPr>
              <w:t xml:space="preserve">IKE decoder, rekey and PFS inference, NM-130</w:t>
            </w:r>
          </w:p>
        </w:tc>
      </w:tr>
      <w:tr>
        <w:trPr>
          <w:cantSplit/>
        </w:trPr>
        <w:tc>
          <w:tcPr>
            <w:tcW w:type="dxa" w:w="2300"/>
            <w:tcBorders>
              <w:top w:val="single" w:color="B7BDC8" w:sz="4"/>
              <w:left w:val="single" w:color="B7BDC8" w:sz="4"/>
              <w:bottom w:val="single" w:color="B7BDC8" w:sz="4"/>
              <w:right w:val="single" w:color="B7BDC8" w:sz="4"/>
            </w:tcBorders>
            <w:tcMar>
              <w:top w:type="dxa" w:w="70"/>
              <w:left w:type="dxa" w:w="110"/>
              <w:bottom w:type="dxa" w:w="70"/>
              <w:right w:type="dxa" w:w="110"/>
            </w:tcMar>
          </w:tcPr>
          <w:p>
            <w:pPr>
              <w:spacing w:after="0" w:line="252"/>
            </w:pPr>
            <w:r>
              <w:rPr>
                <w:sz w:val="19"/>
                <w:szCs w:val="19"/>
              </w:rPr>
              <w:t xml:space="preserve">RFC 4303 (ESP)</w:t>
            </w:r>
          </w:p>
        </w:tc>
        <w:tc>
          <w:tcPr>
            <w:tcW w:type="dxa" w:w="3363"/>
            <w:tcBorders>
              <w:top w:val="single" w:color="B7BDC8" w:sz="4"/>
              <w:left w:val="single" w:color="B7BDC8" w:sz="4"/>
              <w:bottom w:val="single" w:color="B7BDC8" w:sz="4"/>
              <w:right w:val="single" w:color="B7BDC8" w:sz="4"/>
            </w:tcBorders>
            <w:tcMar>
              <w:top w:type="dxa" w:w="70"/>
              <w:left w:type="dxa" w:w="110"/>
              <w:bottom w:type="dxa" w:w="70"/>
              <w:right w:type="dxa" w:w="110"/>
            </w:tcMar>
          </w:tcPr>
          <w:p>
            <w:pPr>
              <w:spacing w:after="0" w:line="252"/>
            </w:pPr>
            <w:r>
              <w:rPr>
                <w:sz w:val="19"/>
                <w:szCs w:val="19"/>
              </w:rPr>
              <w:t xml:space="preserve">ESP packet format and TFC padding</w:t>
            </w:r>
          </w:p>
        </w:tc>
        <w:tc>
          <w:tcPr>
            <w:tcW w:type="dxa" w:w="3363"/>
            <w:tcBorders>
              <w:top w:val="single" w:color="B7BDC8" w:sz="4"/>
              <w:left w:val="single" w:color="B7BDC8" w:sz="4"/>
              <w:bottom w:val="single" w:color="B7BDC8" w:sz="4"/>
              <w:right w:val="single" w:color="B7BDC8" w:sz="4"/>
            </w:tcBorders>
            <w:tcMar>
              <w:top w:type="dxa" w:w="70"/>
              <w:left w:type="dxa" w:w="110"/>
              <w:bottom w:type="dxa" w:w="70"/>
              <w:right w:type="dxa" w:w="110"/>
            </w:tcMar>
          </w:tcPr>
          <w:p>
            <w:pPr>
              <w:spacing w:after="0" w:line="252"/>
            </w:pPr>
            <w:r>
              <w:rPr>
                <w:sz w:val="19"/>
                <w:szCs w:val="19"/>
              </w:rPr>
              <w:t xml:space="preserve">Geometry solver, NM-150 remediation</w:t>
            </w:r>
          </w:p>
        </w:tc>
      </w:tr>
      <w:tr>
        <w:trPr>
          <w:cantSplit/>
        </w:trPr>
        <w:tc>
          <w:tcPr>
            <w:tcW w:type="dxa" w:w="2300"/>
            <w:tcBorders>
              <w:top w:val="single" w:color="B7BDC8" w:sz="4"/>
              <w:left w:val="single" w:color="B7BDC8" w:sz="4"/>
              <w:bottom w:val="single" w:color="B7BDC8" w:sz="4"/>
              <w:right w:val="single" w:color="B7BDC8" w:sz="4"/>
            </w:tcBorders>
            <w:tcMar>
              <w:top w:type="dxa" w:w="70"/>
              <w:left w:type="dxa" w:w="110"/>
              <w:bottom w:type="dxa" w:w="70"/>
              <w:right w:type="dxa" w:w="110"/>
            </w:tcMar>
          </w:tcPr>
          <w:p>
            <w:pPr>
              <w:spacing w:after="0" w:line="252"/>
            </w:pPr>
            <w:r>
              <w:rPr>
                <w:sz w:val="19"/>
                <w:szCs w:val="19"/>
              </w:rPr>
              <w:t xml:space="preserve">RFC 8221 / RFC 8247</w:t>
            </w:r>
          </w:p>
        </w:tc>
        <w:tc>
          <w:tcPr>
            <w:tcW w:type="dxa" w:w="3363"/>
            <w:tcBorders>
              <w:top w:val="single" w:color="B7BDC8" w:sz="4"/>
              <w:left w:val="single" w:color="B7BDC8" w:sz="4"/>
              <w:bottom w:val="single" w:color="B7BDC8" w:sz="4"/>
              <w:right w:val="single" w:color="B7BDC8" w:sz="4"/>
            </w:tcBorders>
            <w:tcMar>
              <w:top w:type="dxa" w:w="70"/>
              <w:left w:type="dxa" w:w="110"/>
              <w:bottom w:type="dxa" w:w="70"/>
              <w:right w:type="dxa" w:w="110"/>
            </w:tcMar>
          </w:tcPr>
          <w:p>
            <w:pPr>
              <w:spacing w:after="0" w:line="252"/>
            </w:pPr>
            <w:r>
              <w:rPr>
                <w:sz w:val="19"/>
                <w:szCs w:val="19"/>
              </w:rPr>
              <w:t xml:space="preserve">Algorithm MUST / SHOULD NOT lists for ESP and IKEv2</w:t>
            </w:r>
          </w:p>
        </w:tc>
        <w:tc>
          <w:tcPr>
            <w:tcW w:type="dxa" w:w="3363"/>
            <w:tcBorders>
              <w:top w:val="single" w:color="B7BDC8" w:sz="4"/>
              <w:left w:val="single" w:color="B7BDC8" w:sz="4"/>
              <w:bottom w:val="single" w:color="B7BDC8" w:sz="4"/>
              <w:right w:val="single" w:color="B7BDC8" w:sz="4"/>
            </w:tcBorders>
            <w:tcMar>
              <w:top w:type="dxa" w:w="70"/>
              <w:left w:type="dxa" w:w="110"/>
              <w:bottom w:type="dxa" w:w="70"/>
              <w:right w:type="dxa" w:w="110"/>
            </w:tcMar>
          </w:tcPr>
          <w:p>
            <w:pPr>
              <w:spacing w:after="0" w:line="252"/>
            </w:pPr>
            <w:r>
              <w:rPr>
                <w:sz w:val="19"/>
                <w:szCs w:val="19"/>
              </w:rPr>
              <w:t xml:space="preserve">Rules NM-110 to NM-122</w:t>
            </w:r>
          </w:p>
        </w:tc>
      </w:tr>
      <w:tr>
        <w:trPr>
          <w:cantSplit/>
        </w:trPr>
        <w:tc>
          <w:tcPr>
            <w:tcW w:type="dxa" w:w="2300"/>
            <w:tcBorders>
              <w:top w:val="single" w:color="B7BDC8" w:sz="4"/>
              <w:left w:val="single" w:color="B7BDC8" w:sz="4"/>
              <w:bottom w:val="single" w:color="B7BDC8" w:sz="4"/>
              <w:right w:val="single" w:color="B7BDC8" w:sz="4"/>
            </w:tcBorders>
            <w:tcMar>
              <w:top w:type="dxa" w:w="70"/>
              <w:left w:type="dxa" w:w="110"/>
              <w:bottom w:type="dxa" w:w="70"/>
              <w:right w:type="dxa" w:w="110"/>
            </w:tcMar>
          </w:tcPr>
          <w:p>
            <w:pPr>
              <w:spacing w:after="0" w:line="252"/>
            </w:pPr>
            <w:r>
              <w:rPr>
                <w:sz w:val="19"/>
                <w:szCs w:val="19"/>
              </w:rPr>
              <w:t xml:space="preserve">RFC 9370 + ML-KEM (FIPS 203)</w:t>
            </w:r>
          </w:p>
        </w:tc>
        <w:tc>
          <w:tcPr>
            <w:tcW w:type="dxa" w:w="3363"/>
            <w:tcBorders>
              <w:top w:val="single" w:color="B7BDC8" w:sz="4"/>
              <w:left w:val="single" w:color="B7BDC8" w:sz="4"/>
              <w:bottom w:val="single" w:color="B7BDC8" w:sz="4"/>
              <w:right w:val="single" w:color="B7BDC8" w:sz="4"/>
            </w:tcBorders>
            <w:tcMar>
              <w:top w:type="dxa" w:w="70"/>
              <w:left w:type="dxa" w:w="110"/>
              <w:bottom w:type="dxa" w:w="70"/>
              <w:right w:type="dxa" w:w="110"/>
            </w:tcMar>
          </w:tcPr>
          <w:p>
            <w:pPr>
              <w:spacing w:after="0" w:line="252"/>
            </w:pPr>
            <w:r>
              <w:rPr>
                <w:sz w:val="19"/>
                <w:szCs w:val="19"/>
              </w:rPr>
              <w:t xml:space="preserve">Hybrid post-quantum key exchange</w:t>
            </w:r>
          </w:p>
        </w:tc>
        <w:tc>
          <w:tcPr>
            <w:tcW w:type="dxa" w:w="3363"/>
            <w:tcBorders>
              <w:top w:val="single" w:color="B7BDC8" w:sz="4"/>
              <w:left w:val="single" w:color="B7BDC8" w:sz="4"/>
              <w:bottom w:val="single" w:color="B7BDC8" w:sz="4"/>
              <w:right w:val="single" w:color="B7BDC8" w:sz="4"/>
            </w:tcBorders>
            <w:tcMar>
              <w:top w:type="dxa" w:w="70"/>
              <w:left w:type="dxa" w:w="110"/>
              <w:bottom w:type="dxa" w:w="70"/>
              <w:right w:type="dxa" w:w="110"/>
            </w:tcMar>
          </w:tcPr>
          <w:p>
            <w:pPr>
              <w:spacing w:after="0" w:line="252"/>
            </w:pPr>
            <w:r>
              <w:rPr>
                <w:sz w:val="19"/>
                <w:szCs w:val="19"/>
              </w:rPr>
              <w:t xml:space="preserve">ADDITIONAL_KEY_EXCHANGE detection</w:t>
            </w:r>
          </w:p>
        </w:tc>
      </w:tr>
      <w:tr>
        <w:trPr>
          <w:cantSplit/>
        </w:trPr>
        <w:tc>
          <w:tcPr>
            <w:tcW w:type="dxa" w:w="2300"/>
            <w:tcBorders>
              <w:top w:val="single" w:color="B7BDC8" w:sz="4"/>
              <w:left w:val="single" w:color="B7BDC8" w:sz="4"/>
              <w:bottom w:val="single" w:color="B7BDC8" w:sz="4"/>
              <w:right w:val="single" w:color="B7BDC8" w:sz="4"/>
            </w:tcBorders>
            <w:tcMar>
              <w:top w:type="dxa" w:w="70"/>
              <w:left w:type="dxa" w:w="110"/>
              <w:bottom w:type="dxa" w:w="70"/>
              <w:right w:type="dxa" w:w="110"/>
            </w:tcMar>
          </w:tcPr>
          <w:p>
            <w:pPr>
              <w:spacing w:after="0" w:line="252"/>
            </w:pPr>
            <w:r>
              <w:rPr>
                <w:sz w:val="19"/>
                <w:szCs w:val="19"/>
              </w:rPr>
              <w:t xml:space="preserve">RFC 9395</w:t>
            </w:r>
          </w:p>
        </w:tc>
        <w:tc>
          <w:tcPr>
            <w:tcW w:type="dxa" w:w="3363"/>
            <w:tcBorders>
              <w:top w:val="single" w:color="B7BDC8" w:sz="4"/>
              <w:left w:val="single" w:color="B7BDC8" w:sz="4"/>
              <w:bottom w:val="single" w:color="B7BDC8" w:sz="4"/>
              <w:right w:val="single" w:color="B7BDC8" w:sz="4"/>
            </w:tcBorders>
            <w:tcMar>
              <w:top w:type="dxa" w:w="70"/>
              <w:left w:type="dxa" w:w="110"/>
              <w:bottom w:type="dxa" w:w="70"/>
              <w:right w:type="dxa" w:w="110"/>
            </w:tcMar>
          </w:tcPr>
          <w:p>
            <w:pPr>
              <w:spacing w:after="0" w:line="252"/>
            </w:pPr>
            <w:r>
              <w:rPr>
                <w:sz w:val="19"/>
                <w:szCs w:val="19"/>
              </w:rPr>
              <w:t xml:space="preserve">Deprecation of IKEv1</w:t>
            </w:r>
          </w:p>
        </w:tc>
        <w:tc>
          <w:tcPr>
            <w:tcW w:type="dxa" w:w="3363"/>
            <w:tcBorders>
              <w:top w:val="single" w:color="B7BDC8" w:sz="4"/>
              <w:left w:val="single" w:color="B7BDC8" w:sz="4"/>
              <w:bottom w:val="single" w:color="B7BDC8" w:sz="4"/>
              <w:right w:val="single" w:color="B7BDC8" w:sz="4"/>
            </w:tcBorders>
            <w:tcMar>
              <w:top w:type="dxa" w:w="70"/>
              <w:left w:type="dxa" w:w="110"/>
              <w:bottom w:type="dxa" w:w="70"/>
              <w:right w:type="dxa" w:w="110"/>
            </w:tcMar>
          </w:tcPr>
          <w:p>
            <w:pPr>
              <w:spacing w:after="0" w:line="252"/>
            </w:pPr>
            <w:r>
              <w:rPr>
                <w:sz w:val="19"/>
                <w:szCs w:val="19"/>
              </w:rPr>
              <w:t xml:space="preserve">NM-100 / NM-101</w:t>
            </w:r>
          </w:p>
        </w:tc>
      </w:tr>
      <w:tr>
        <w:trPr>
          <w:cantSplit/>
        </w:trPr>
        <w:tc>
          <w:tcPr>
            <w:tcW w:type="dxa" w:w="2300"/>
            <w:tcBorders>
              <w:top w:val="single" w:color="B7BDC8" w:sz="4"/>
              <w:left w:val="single" w:color="B7BDC8" w:sz="4"/>
              <w:bottom w:val="single" w:color="B7BDC8" w:sz="4"/>
              <w:right w:val="single" w:color="B7BDC8" w:sz="4"/>
            </w:tcBorders>
            <w:tcMar>
              <w:top w:type="dxa" w:w="70"/>
              <w:left w:type="dxa" w:w="110"/>
              <w:bottom w:type="dxa" w:w="70"/>
              <w:right w:type="dxa" w:w="110"/>
            </w:tcMar>
          </w:tcPr>
          <w:p>
            <w:pPr>
              <w:spacing w:after="0" w:line="252"/>
            </w:pPr>
            <w:r>
              <w:rPr>
                <w:sz w:val="19"/>
                <w:szCs w:val="19"/>
              </w:rPr>
              <w:t xml:space="preserve">RFC 7383, RFC 3948, RFC 8019</w:t>
            </w:r>
          </w:p>
        </w:tc>
        <w:tc>
          <w:tcPr>
            <w:tcW w:type="dxa" w:w="3363"/>
            <w:tcBorders>
              <w:top w:val="single" w:color="B7BDC8" w:sz="4"/>
              <w:left w:val="single" w:color="B7BDC8" w:sz="4"/>
              <w:bottom w:val="single" w:color="B7BDC8" w:sz="4"/>
              <w:right w:val="single" w:color="B7BDC8" w:sz="4"/>
            </w:tcBorders>
            <w:tcMar>
              <w:top w:type="dxa" w:w="70"/>
              <w:left w:type="dxa" w:w="110"/>
              <w:bottom w:type="dxa" w:w="70"/>
              <w:right w:type="dxa" w:w="110"/>
            </w:tcMar>
          </w:tcPr>
          <w:p>
            <w:pPr>
              <w:spacing w:after="0" w:line="252"/>
            </w:pPr>
            <w:r>
              <w:rPr>
                <w:sz w:val="19"/>
                <w:szCs w:val="19"/>
              </w:rPr>
              <w:t xml:space="preserve">IKE fragmentation, NAT-T, DoS protection</w:t>
            </w:r>
          </w:p>
        </w:tc>
        <w:tc>
          <w:tcPr>
            <w:tcW w:type="dxa" w:w="3363"/>
            <w:tcBorders>
              <w:top w:val="single" w:color="B7BDC8" w:sz="4"/>
              <w:left w:val="single" w:color="B7BDC8" w:sz="4"/>
              <w:bottom w:val="single" w:color="B7BDC8" w:sz="4"/>
              <w:right w:val="single" w:color="B7BDC8" w:sz="4"/>
            </w:tcBorders>
            <w:tcMar>
              <w:top w:type="dxa" w:w="70"/>
              <w:left w:type="dxa" w:w="110"/>
              <w:bottom w:type="dxa" w:w="70"/>
              <w:right w:type="dxa" w:w="110"/>
            </w:tcMar>
          </w:tcPr>
          <w:p>
            <w:pPr>
              <w:spacing w:after="0" w:line="252"/>
            </w:pPr>
            <w:r>
              <w:rPr>
                <w:sz w:val="19"/>
                <w:szCs w:val="19"/>
              </w:rPr>
              <w:t xml:space="preserve">NM-161, NM-162, NM-160</w:t>
            </w:r>
          </w:p>
        </w:tc>
      </w:tr>
      <w:tr>
        <w:trPr>
          <w:cantSplit/>
        </w:trPr>
        <w:tc>
          <w:tcPr>
            <w:tcW w:type="dxa" w:w="2300"/>
            <w:tcBorders>
              <w:top w:val="single" w:color="B7BDC8" w:sz="4"/>
              <w:left w:val="single" w:color="B7BDC8" w:sz="4"/>
              <w:bottom w:val="single" w:color="B7BDC8" w:sz="4"/>
              <w:right w:val="single" w:color="B7BDC8" w:sz="4"/>
            </w:tcBorders>
            <w:tcMar>
              <w:top w:type="dxa" w:w="70"/>
              <w:left w:type="dxa" w:w="110"/>
              <w:bottom w:type="dxa" w:w="70"/>
              <w:right w:type="dxa" w:w="110"/>
            </w:tcMar>
          </w:tcPr>
          <w:p>
            <w:pPr>
              <w:spacing w:after="0" w:line="252"/>
            </w:pPr>
            <w:r>
              <w:rPr>
                <w:sz w:val="19"/>
                <w:szCs w:val="19"/>
              </w:rPr>
              <w:t xml:space="preserve">NIST SP 800-77r1, SP 800-57</w:t>
            </w:r>
          </w:p>
        </w:tc>
        <w:tc>
          <w:tcPr>
            <w:tcW w:type="dxa" w:w="3363"/>
            <w:tcBorders>
              <w:top w:val="single" w:color="B7BDC8" w:sz="4"/>
              <w:left w:val="single" w:color="B7BDC8" w:sz="4"/>
              <w:bottom w:val="single" w:color="B7BDC8" w:sz="4"/>
              <w:right w:val="single" w:color="B7BDC8" w:sz="4"/>
            </w:tcBorders>
            <w:tcMar>
              <w:top w:type="dxa" w:w="70"/>
              <w:left w:type="dxa" w:w="110"/>
              <w:bottom w:type="dxa" w:w="70"/>
              <w:right w:type="dxa" w:w="110"/>
            </w:tcMar>
          </w:tcPr>
          <w:p>
            <w:pPr>
              <w:spacing w:after="0" w:line="252"/>
            </w:pPr>
            <w:r>
              <w:rPr>
                <w:sz w:val="19"/>
                <w:szCs w:val="19"/>
              </w:rPr>
              <w:t xml:space="preserve">IPsec deployment guidance, key strength</w:t>
            </w:r>
          </w:p>
        </w:tc>
        <w:tc>
          <w:tcPr>
            <w:tcW w:type="dxa" w:w="3363"/>
            <w:tcBorders>
              <w:top w:val="single" w:color="B7BDC8" w:sz="4"/>
              <w:left w:val="single" w:color="B7BDC8" w:sz="4"/>
              <w:bottom w:val="single" w:color="B7BDC8" w:sz="4"/>
              <w:right w:val="single" w:color="B7BDC8" w:sz="4"/>
            </w:tcBorders>
            <w:tcMar>
              <w:top w:type="dxa" w:w="70"/>
              <w:left w:type="dxa" w:w="110"/>
              <w:bottom w:type="dxa" w:w="70"/>
              <w:right w:type="dxa" w:w="110"/>
            </w:tcMar>
          </w:tcPr>
          <w:p>
            <w:pPr>
              <w:spacing w:after="0" w:line="252"/>
            </w:pPr>
            <w:r>
              <w:rPr>
                <w:sz w:val="19"/>
                <w:szCs w:val="19"/>
              </w:rPr>
              <w:t xml:space="preserve">Lifetimes (NM-131/132), DH strength</w:t>
            </w:r>
          </w:p>
        </w:tc>
      </w:tr>
      <w:tr>
        <w:trPr>
          <w:cantSplit/>
        </w:trPr>
        <w:tc>
          <w:tcPr>
            <w:tcW w:type="dxa" w:w="2300"/>
            <w:tcBorders>
              <w:top w:val="single" w:color="B7BDC8" w:sz="4"/>
              <w:left w:val="single" w:color="B7BDC8" w:sz="4"/>
              <w:bottom w:val="single" w:color="B7BDC8" w:sz="4"/>
              <w:right w:val="single" w:color="B7BDC8" w:sz="4"/>
            </w:tcBorders>
            <w:tcMar>
              <w:top w:type="dxa" w:w="70"/>
              <w:left w:type="dxa" w:w="110"/>
              <w:bottom w:type="dxa" w:w="70"/>
              <w:right w:type="dxa" w:w="110"/>
            </w:tcMar>
          </w:tcPr>
          <w:p>
            <w:pPr>
              <w:spacing w:after="0" w:line="252"/>
            </w:pPr>
            <w:r>
              <w:rPr>
                <w:sz w:val="19"/>
                <w:szCs w:val="19"/>
              </w:rPr>
              <w:t xml:space="preserve">Sweet32 (CVE-2016-2183)</w:t>
            </w:r>
          </w:p>
        </w:tc>
        <w:tc>
          <w:tcPr>
            <w:tcW w:type="dxa" w:w="3363"/>
            <w:tcBorders>
              <w:top w:val="single" w:color="B7BDC8" w:sz="4"/>
              <w:left w:val="single" w:color="B7BDC8" w:sz="4"/>
              <w:bottom w:val="single" w:color="B7BDC8" w:sz="4"/>
              <w:right w:val="single" w:color="B7BDC8" w:sz="4"/>
            </w:tcBorders>
            <w:tcMar>
              <w:top w:type="dxa" w:w="70"/>
              <w:left w:type="dxa" w:w="110"/>
              <w:bottom w:type="dxa" w:w="70"/>
              <w:right w:type="dxa" w:w="110"/>
            </w:tcMar>
          </w:tcPr>
          <w:p>
            <w:pPr>
              <w:spacing w:after="0" w:line="252"/>
            </w:pPr>
            <w:r>
              <w:rPr>
                <w:sz w:val="19"/>
                <w:szCs w:val="19"/>
              </w:rPr>
              <w:t xml:space="preserve">Birthday attack on 64-bit blocks</w:t>
            </w:r>
          </w:p>
        </w:tc>
        <w:tc>
          <w:tcPr>
            <w:tcW w:type="dxa" w:w="3363"/>
            <w:tcBorders>
              <w:top w:val="single" w:color="B7BDC8" w:sz="4"/>
              <w:left w:val="single" w:color="B7BDC8" w:sz="4"/>
              <w:bottom w:val="single" w:color="B7BDC8" w:sz="4"/>
              <w:right w:val="single" w:color="B7BDC8" w:sz="4"/>
            </w:tcBorders>
            <w:tcMar>
              <w:top w:type="dxa" w:w="70"/>
              <w:left w:type="dxa" w:w="110"/>
              <w:bottom w:type="dxa" w:w="70"/>
              <w:right w:type="dxa" w:w="110"/>
            </w:tcMar>
          </w:tcPr>
          <w:p>
            <w:pPr>
              <w:spacing w:after="0" w:line="252"/>
            </w:pPr>
            <w:r>
              <w:rPr>
                <w:sz w:val="19"/>
                <w:szCs w:val="19"/>
              </w:rPr>
              <w:t xml:space="preserve">NM-121</w:t>
            </w:r>
          </w:p>
        </w:tc>
      </w:tr>
      <w:tr>
        <w:trPr>
          <w:cantSplit/>
        </w:trPr>
        <w:tc>
          <w:tcPr>
            <w:tcW w:type="dxa" w:w="2300"/>
            <w:tcBorders>
              <w:top w:val="single" w:color="B7BDC8" w:sz="4"/>
              <w:left w:val="single" w:color="B7BDC8" w:sz="4"/>
              <w:bottom w:val="single" w:color="B7BDC8" w:sz="4"/>
              <w:right w:val="single" w:color="B7BDC8" w:sz="4"/>
            </w:tcBorders>
            <w:tcMar>
              <w:top w:type="dxa" w:w="70"/>
              <w:left w:type="dxa" w:w="110"/>
              <w:bottom w:type="dxa" w:w="70"/>
              <w:right w:type="dxa" w:w="110"/>
            </w:tcMar>
          </w:tcPr>
          <w:p>
            <w:pPr>
              <w:spacing w:after="0" w:line="252"/>
            </w:pPr>
            <w:r>
              <w:rPr>
                <w:sz w:val="19"/>
                <w:szCs w:val="19"/>
              </w:rPr>
              <w:t xml:space="preserve">Encrypted traffic classification literature</w:t>
            </w:r>
          </w:p>
        </w:tc>
        <w:tc>
          <w:tcPr>
            <w:tcW w:type="dxa" w:w="3363"/>
            <w:tcBorders>
              <w:top w:val="single" w:color="B7BDC8" w:sz="4"/>
              <w:left w:val="single" w:color="B7BDC8" w:sz="4"/>
              <w:bottom w:val="single" w:color="B7BDC8" w:sz="4"/>
              <w:right w:val="single" w:color="B7BDC8" w:sz="4"/>
            </w:tcBorders>
            <w:tcMar>
              <w:top w:type="dxa" w:w="70"/>
              <w:left w:type="dxa" w:w="110"/>
              <w:bottom w:type="dxa" w:w="70"/>
              <w:right w:type="dxa" w:w="110"/>
            </w:tcMar>
          </w:tcPr>
          <w:p>
            <w:pPr>
              <w:spacing w:after="0" w:line="252"/>
            </w:pPr>
            <w:r>
              <w:rPr>
                <w:sz w:val="19"/>
                <w:szCs w:val="19"/>
              </w:rPr>
              <w:t xml:space="preserve">Application inference from size and timing</w:t>
            </w:r>
          </w:p>
        </w:tc>
        <w:tc>
          <w:tcPr>
            <w:tcW w:type="dxa" w:w="3363"/>
            <w:tcBorders>
              <w:top w:val="single" w:color="B7BDC8" w:sz="4"/>
              <w:left w:val="single" w:color="B7BDC8" w:sz="4"/>
              <w:bottom w:val="single" w:color="B7BDC8" w:sz="4"/>
              <w:right w:val="single" w:color="B7BDC8" w:sz="4"/>
            </w:tcBorders>
            <w:tcMar>
              <w:top w:type="dxa" w:w="70"/>
              <w:left w:type="dxa" w:w="110"/>
              <w:bottom w:type="dxa" w:w="70"/>
              <w:right w:type="dxa" w:w="110"/>
            </w:tcMar>
          </w:tcPr>
          <w:p>
            <w:pPr>
              <w:spacing w:after="0" w:line="252"/>
            </w:pPr>
            <w:r>
              <w:rPr>
                <w:sz w:val="19"/>
                <w:szCs w:val="19"/>
              </w:rPr>
              <w:t xml:space="preserve">AI traffic classifier and MEI</w:t>
            </w:r>
          </w:p>
        </w:tc>
      </w:tr>
    </w:tbl>
    <w:p>
      <w:pPr>
        <w:spacing w:after="60"/>
      </w:pPr>
    </w:p>
    <w:p>
      <w:pPr>
        <w:pStyle w:val="Heading1"/>
      </w:pPr>
      <w:r>
        <w:t xml:space="preserve">4. System Design and Development</w:t>
      </w:r>
    </w:p>
    <w:p>
      <w:pPr>
        <w:pStyle w:val="Heading2"/>
      </w:pPr>
      <w:r>
        <w:t xml:space="preserve">4.1 Architecture Overview</w:t>
      </w:r>
    </w:p>
    <w:p>
      <w:pPr>
        <w:spacing w:after="120" w:line="276"/>
        <w:jc w:val="both"/>
      </w:pPr>
      <w:r>
        <w:t xml:space="preserve">NUNMATHI is a </w:t>
      </w:r>
      <w:r>
        <w:rPr>
          <w:b/>
          <w:bCs/>
        </w:rPr>
        <w:t xml:space="preserve">passive</w:t>
      </w:r>
      <w:r>
        <w:t xml:space="preserve"> pipeline. A capture file, a live packet stream or a generated testbed capture enters a six-stage engine that runs in-process inside the desktop application. The engine never sends packets, never holds keys and never decrypts; results are stored locally in SQLite and presented in a native window, in reports and as machine-readable JSON (Figure 1).</w:t>
      </w:r>
    </w:p>
    <w:p>
      <w:pPr>
        <w:keepNext/>
        <w:spacing w:after="60" w:before="120"/>
        <w:jc w:val="center"/>
      </w:pPr>
      <w:r>
        <w:drawing>
          <wp:inline distT="0" distB="0" distL="0" distR="0">
            <wp:extent cx="5143500" cy="3219450"/>
            <wp:effectExtent t="0" r="0" b="0" l="0"/>
            <wp:docPr id="1" name="Figure 1: NUNMATHI system architecture" descr="Figure 1: NUNMATHI system architecture" title="Figure 1: NUNMATHI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219450"/>
                    </a:xfrm>
                    <a:prstGeom prst="rect">
                      <a:avLst/>
                    </a:prstGeom>
                  </pic:spPr>
                </pic:pic>
              </a:graphicData>
            </a:graphic>
          </wp:inline>
        </w:drawing>
      </w:r>
    </w:p>
    <w:p>
      <w:pPr>
        <w:spacing w:after="200"/>
        <w:jc w:val="center"/>
      </w:pPr>
      <w:r>
        <w:rPr>
          <w:b/>
          <w:bCs/>
          <w:sz w:val="20"/>
          <w:szCs w:val="20"/>
        </w:rPr>
        <w:t xml:space="preserve">Figure 1: NUNMATHI system architecture</w:t>
      </w:r>
    </w:p>
    <w:p>
      <w:pPr>
        <w:pStyle w:val="Heading2"/>
      </w:pPr>
      <w:r>
        <w:t xml:space="preserve">4.2 Components</w:t>
      </w:r>
    </w:p>
    <w:p>
      <w:pPr>
        <w:pStyle w:val="Heading3"/>
      </w:pPr>
      <w:r>
        <w:t xml:space="preserve">4.2.1 Capture Inputs</w:t>
      </w:r>
    </w:p>
    <w:p>
      <w:pPr>
        <w:pStyle w:val="ListParagraph"/>
        <w:numPr>
          <w:ilvl w:val="0"/>
          <w:numId w:val="2"/>
        </w:numPr>
        <w:spacing w:after="80" w:line="264"/>
        <w:jc w:val="both"/>
      </w:pPr>
      <w:r>
        <w:rPr>
          <w:b/>
          <w:bCs/>
        </w:rPr>
        <w:t xml:space="preserve">Offline: </w:t>
      </w:r>
      <w:r>
        <w:t xml:space="preserve">.pcap, .pcapng and .cap files opened from the File menu, by drag-and-drop or through the operating system's Open-with entry.</w:t>
      </w:r>
    </w:p>
    <w:p>
      <w:pPr>
        <w:pStyle w:val="ListParagraph"/>
        <w:numPr>
          <w:ilvl w:val="0"/>
          <w:numId w:val="2"/>
        </w:numPr>
        <w:spacing w:after="80" w:line="264"/>
        <w:jc w:val="both"/>
      </w:pPr>
      <w:r>
        <w:rPr>
          <w:b/>
          <w:bCs/>
        </w:rPr>
        <w:t xml:space="preserve">Live mode: </w:t>
      </w:r>
      <w:r>
        <w:t xml:space="preserve">a real-time stream from dumpcap or tcpdump; new tunnels, rekeys, grade changes and alerts are reported as they happen while the stream is recorded to disk.</w:t>
      </w:r>
    </w:p>
    <w:p>
      <w:pPr>
        <w:pStyle w:val="ListParagraph"/>
        <w:numPr>
          <w:ilvl w:val="0"/>
          <w:numId w:val="2"/>
        </w:numPr>
        <w:spacing w:after="80" w:line="264"/>
        <w:jc w:val="both"/>
      </w:pPr>
      <w:r>
        <w:rPr>
          <w:b/>
          <w:bCs/>
        </w:rPr>
        <w:t xml:space="preserve">IPsecForge testbed: </w:t>
      </w:r>
      <w:r>
        <w:t xml:space="preserve">YAML-described scenarios (tunnel/transport, AES-128/256, GCM, CBC+HMAC, DH groups, PFS on/off, IPv4/IPv6, traffic mixes) that produce standards-conformant captures with ground truth.</w:t>
      </w:r>
    </w:p>
    <w:p>
      <w:pPr>
        <w:pStyle w:val="Heading3"/>
      </w:pPr>
      <w:r>
        <w:t xml:space="preserve">4.2.2 Protocol Decoders</w:t>
      </w:r>
    </w:p>
    <w:p>
      <w:pPr>
        <w:spacing w:after="120" w:line="276"/>
        <w:jc w:val="both"/>
      </w:pPr>
      <w:r>
        <w:t xml:space="preserve">The packet layer handles Ethernet, VLAN, Linux SLL/SLL2, raw IP and loopback, IPv4/IPv6 with fragment reassembly, UDP 500/4500 with the NAT-T non-ESP marker, ESP and AH. The IKE decoder parses IKEv1 and IKEv2 headers and payloads: SA proposals and transforms, KE, Nonce, ID, Vendor ID, Notify (including RFC 9370 ADDITIONAL_KEY_EXCHANGE) and encrypted/fragmented SK payloads.</w:t>
      </w:r>
    </w:p>
    <w:p>
      <w:pPr>
        <w:pStyle w:val="Heading3"/>
      </w:pPr>
      <w:r>
        <w:t xml:space="preserve">4.2.3 Session Tracker</w:t>
      </w:r>
    </w:p>
    <w:p>
      <w:pPr>
        <w:spacing w:after="120" w:line="276"/>
        <w:jc w:val="both"/>
      </w:pPr>
      <w:r>
        <w:t xml:space="preserve">Pairs peers into tunnels, tracks IKE SAs by SPI and Child SAs by ESP SPI, and detects rekeys, IKEv2 re-authentication, half-open IKE floods, NAT traversal and Dead Peer Detection. It infers PFS and SA lifetimes; when a capture contains no rekey, lifetimes are reported as lower bounds.</w:t>
      </w:r>
    </w:p>
    <w:p>
      <w:pPr>
        <w:pStyle w:val="Heading3"/>
      </w:pPr>
      <w:r>
        <w:t xml:space="preserve">4.2.4 ESP Geometry Solver</w:t>
      </w:r>
    </w:p>
    <w:p>
      <w:pPr>
        <w:spacing w:after="120" w:line="276"/>
        <w:jc w:val="both"/>
      </w:pPr>
      <w:r>
        <w:t xml:space="preserve">For every Child SA, the solver tests each cipher hypothesis against every observed packet length and produces a proof table (hypothesis, block/IV/ICV, claim, verdict, reason). Hypotheses that the data cannot separate are reported together, for example "AES-GCM-16 / ChaCha20-Poly1305". ESP-NULL is detected directly from the cleartext inner IP header.</w:t>
      </w:r>
    </w:p>
    <w:p>
      <w:pPr>
        <w:pStyle w:val="Heading3"/>
      </w:pPr>
      <w:r>
        <w:t xml:space="preserve">4.2.5 AI Traffic Classifier</w:t>
      </w:r>
    </w:p>
    <w:p>
      <w:pPr>
        <w:spacing w:after="120" w:line="276"/>
        <w:jc w:val="both"/>
      </w:pPr>
      <w:r>
        <w:t xml:space="preserve">ESP packets are cut into 5-second windows; 34 features are computed after subtracting the inferred ESP overhead, so one model works for AEAD and CBC tunnels. A HistGradientBoosting classifier (250 iterations, 31 leaves) predicts voip, video, web, chat or e-mail, wrapped in split-conformal prediction and a 5-nearest-neighbour out-of-distribution detector.</w:t>
      </w:r>
    </w:p>
    <w:p>
      <w:pPr>
        <w:pStyle w:val="Heading3"/>
      </w:pPr>
      <w:r>
        <w:t xml:space="preserve">4.2.6 Assessment, What-If Twin and Reporting</w:t>
      </w:r>
    </w:p>
    <w:p>
      <w:pPr>
        <w:spacing w:after="120" w:line="276"/>
        <w:jc w:val="both"/>
      </w:pPr>
      <w:r>
        <w:t xml:space="preserve">21 rules (NM-100 to NM-180) produce OWASP-ZAP-style alerts, a numeric score and a letter grade. The What-If twin re-scores a tunnel under proposed changes (IKEv2, PQ hybrid, PFS, stronger groups) and generates strongSwan, libreswan and Cisco IOS configuration. Reports are produced as an Executive PDF (2-3 pages), a Technical PDF (15-30 pages), HTML and JSON with a versioned schema for SIEM/SOAR.</w:t>
      </w:r>
    </w:p>
    <w:p>
      <w:pPr>
        <w:pStyle w:val="Heading3"/>
      </w:pPr>
      <w:r>
        <w:t xml:space="preserve">4.2.7 Desktop Application</w:t>
      </w:r>
    </w:p>
    <w:p>
      <w:pPr>
        <w:spacing w:after="120" w:line="276"/>
        <w:jc w:val="both"/>
      </w:pPr>
      <w:r>
        <w:t xml:space="preserve">The user interface (React 19, ZAP-style layout with Sites tree, tabbed workspace and Alerts/History panes) runs in a native window: Qt WebEngine on Linux and WebView2 on Windows through pywebview. The FastAPI engine is called in-process through a bridge, so no HTTP server or network port is opened. The application detects missing GPU/OpenGL support and falls back to software rendering, and it ships as a Windows installer (about 75 MB) and a Debian package (about 180 MB).</w:t>
      </w:r>
    </w:p>
    <w:p>
      <w:pPr>
        <w:pStyle w:val="Heading2"/>
      </w:pPr>
      <w:r>
        <w:t xml:space="preserve">4.3 Software and Algorithms</w:t>
      </w:r>
    </w:p>
    <w:p>
      <w:pPr>
        <w:keepNext/>
        <w:spacing w:after="120" w:line="276"/>
        <w:jc w:val="both"/>
      </w:pPr>
      <w:r>
        <w:t xml:space="preserve">The two central inference steps are the key-less cipher geometry test and the scoring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7BDC8" w:sz="4"/>
              <w:left w:val="single" w:color="B7BDC8" w:sz="4"/>
              <w:bottom w:val="single" w:color="B7BDC8" w:sz="4"/>
              <w:right w:val="single" w:color="B7BDC8" w:sz="4"/>
            </w:tcBorders>
            <w:shd w:fill="F2F2F2" w:color="auto" w:val="clear"/>
            <w:tcMar>
              <w:top w:type="dxa" w:w="70"/>
              <w:left w:type="dxa" w:w="110"/>
              <w:bottom w:type="dxa" w:w="70"/>
              <w:right w:type="dxa" w:w="110"/>
            </w:tcMar>
          </w:tcPr>
          <w:p>
            <w:pPr>
              <w:spacing w:after="60"/>
              <w:jc w:val="center"/>
            </w:pPr>
            <w:r>
              <w:rPr>
                <w:rFonts w:ascii="Times New Roman" w:cs="Times New Roman" w:eastAsia="Times New Roman" w:hAnsi="Times New Roman"/>
                <w:b/>
                <w:bCs/>
                <w:sz w:val="21"/>
                <w:szCs w:val="21"/>
              </w:rPr>
              <w:t xml:space="preserve">ESP length congruence:</w:t>
            </w:r>
            <w:r>
              <w:rPr>
                <w:rFonts w:ascii="Times New Roman" w:cs="Times New Roman" w:eastAsia="Times New Roman" w:hAnsi="Times New Roman"/>
                <w:sz w:val="21"/>
                <w:szCs w:val="21"/>
              </w:rPr>
              <w:t xml:space="preserve">   L = 8 + IV + ICV + k · B      (k ∈ ℕ, B = cipher block size)</w:t>
            </w:r>
          </w:p>
          <w:p>
            <w:pPr>
              <w:spacing w:after="60"/>
              <w:jc w:val="center"/>
            </w:pPr>
            <w:r>
              <w:rPr>
                <w:rFonts w:ascii="Times New Roman" w:cs="Times New Roman" w:eastAsia="Times New Roman" w:hAnsi="Times New Roman"/>
                <w:b/>
                <w:bCs/>
                <w:sz w:val="21"/>
                <w:szCs w:val="21"/>
              </w:rPr>
              <w:t xml:space="preserve">Metadata Exposure Index:</w:t>
            </w:r>
            <w:r>
              <w:rPr>
                <w:rFonts w:ascii="Times New Roman" w:cs="Times New Roman" w:eastAsia="Times New Roman" w:hAnsi="Times New Roman"/>
                <w:sz w:val="21"/>
                <w:szCs w:val="21"/>
              </w:rPr>
              <w:t xml:space="preserve">   MEI = (log₂K − H(p)) / log₂K,   K = 5 classes</w:t>
            </w:r>
          </w:p>
          <w:p>
            <w:pPr>
              <w:spacing w:after="60"/>
              <w:jc w:val="center"/>
            </w:pPr>
            <w:r>
              <w:rPr>
                <w:rFonts w:ascii="Times New Roman" w:cs="Times New Roman" w:eastAsia="Times New Roman" w:hAnsi="Times New Roman"/>
                <w:b/>
                <w:bCs/>
                <w:sz w:val="21"/>
                <w:szCs w:val="21"/>
              </w:rPr>
              <w:t xml:space="preserve">Tunnel score:</w:t>
            </w:r>
            <w:r>
              <w:rPr>
                <w:rFonts w:ascii="Times New Roman" w:cs="Times New Roman" w:eastAsia="Times New Roman" w:hAnsi="Times New Roman"/>
                <w:sz w:val="21"/>
                <w:szCs w:val="21"/>
              </w:rPr>
              <w:t xml:space="preserve">   S = max(0, 100 − 25·N_High − 10·N_Medium − 3·N_Low)</w:t>
            </w:r>
          </w:p>
          <w:p>
            <w:pPr>
              <w:spacing w:after="60"/>
              <w:jc w:val="center"/>
            </w:pPr>
            <w:r>
              <w:rPr>
                <w:rFonts w:ascii="Times New Roman" w:cs="Times New Roman" w:eastAsia="Times New Roman" w:hAnsi="Times New Roman"/>
                <w:b/>
                <w:bCs/>
                <w:sz w:val="21"/>
                <w:szCs w:val="21"/>
              </w:rPr>
              <w:t xml:space="preserve">Grade:</w:t>
            </w:r>
            <w:r>
              <w:rPr>
                <w:rFonts w:ascii="Times New Roman" w:cs="Times New Roman" w:eastAsia="Times New Roman" w:hAnsi="Times New Roman"/>
                <w:sz w:val="21"/>
                <w:szCs w:val="21"/>
              </w:rPr>
              <w:t xml:space="preserve">   A+ ≥ 97,  A ≥ 90,  B ≥ 75,  C ≥ 60,  D ≥ 40,  else F;  any High caps at C,  ≥ 3 High → F</w:t>
            </w:r>
          </w:p>
        </w:tc>
      </w:tr>
    </w:tbl>
    <w:p>
      <w:pPr>
        <w:spacing w:after="60"/>
      </w:pPr>
    </w:p>
    <w:p>
      <w:pPr>
        <w:spacing w:after="120" w:line="276"/>
        <w:jc w:val="both"/>
      </w:pPr>
      <w:r>
        <w:t xml:space="preserve">A hypothesis is rejected by a single length that violates its congruence. When a Child SA carries only one or two distinct lengths (for example a constant-bitrate voice call) and more than one block size fits with a spurious-fit probability of at least 5 %, the SA is labelled </w:t>
      </w:r>
      <w:r>
        <w:rPr>
          <w:b/>
          <w:bCs/>
        </w:rPr>
        <w:t xml:space="preserve">Ambiguous</w:t>
      </w:r>
      <w:r>
        <w:t xml:space="preserve"> and all alternatives are listed, so the tool never over-claims. Alert confidence (Confirmed, Firm, Tentative) is derived from the strength of the underlying evidence.</w:t>
      </w:r>
    </w:p>
    <w:p>
      <w:pPr>
        <w:pStyle w:val="Heading1"/>
      </w:pPr>
      <w:r>
        <w:t xml:space="preserve">5. Development and Validation Flow</w:t>
      </w:r>
    </w:p>
    <w:p>
      <w:pPr>
        <w:pStyle w:val="ListParagraph"/>
        <w:numPr>
          <w:ilvl w:val="0"/>
          <w:numId w:val="3"/>
        </w:numPr>
        <w:spacing w:after="80" w:line="264"/>
        <w:jc w:val="both"/>
      </w:pPr>
      <w:r>
        <w:rPr>
          <w:b/>
          <w:bCs/>
        </w:rPr>
        <w:t xml:space="preserve">Phase 1: Protocol decoding: </w:t>
      </w:r>
      <w:r>
        <w:t xml:space="preserve">implemented link-layer, IP, UDP-encapsulation, IKEv1/IKEv2 and ESP/AH decoders; verified against tshark on forged captures with 0 malformed packets.</w:t>
      </w:r>
    </w:p>
    <w:p>
      <w:pPr>
        <w:pStyle w:val="ListParagraph"/>
        <w:numPr>
          <w:ilvl w:val="0"/>
          <w:numId w:val="3"/>
        </w:numPr>
        <w:spacing w:after="80" w:line="264"/>
        <w:jc w:val="both"/>
      </w:pPr>
      <w:r>
        <w:rPr>
          <w:b/>
          <w:bCs/>
        </w:rPr>
        <w:t xml:space="preserve">Phase 2: Synthetic capture forge: </w:t>
      </w:r>
      <w:r>
        <w:t xml:space="preserve">built IPsecForge to write standards-conformant IKE and ESP captures with ground-truth JSON, used for demos, training and regression tests.</w:t>
      </w:r>
    </w:p>
    <w:p>
      <w:pPr>
        <w:pStyle w:val="ListParagraph"/>
        <w:numPr>
          <w:ilvl w:val="0"/>
          <w:numId w:val="3"/>
        </w:numPr>
        <w:spacing w:after="80" w:line="264"/>
        <w:jc w:val="both"/>
      </w:pPr>
      <w:r>
        <w:rPr>
          <w:b/>
          <w:bCs/>
        </w:rPr>
        <w:t xml:space="preserve">Phase 3: Inference engines: </w:t>
      </w:r>
      <w:r>
        <w:t xml:space="preserve">developed the ESP geometry solver, PFS and lifetime inference, and the rule base with scoring.</w:t>
      </w:r>
    </w:p>
    <w:p>
      <w:pPr>
        <w:pStyle w:val="ListParagraph"/>
        <w:numPr>
          <w:ilvl w:val="0"/>
          <w:numId w:val="3"/>
        </w:numPr>
        <w:spacing w:after="80" w:line="264"/>
        <w:jc w:val="both"/>
      </w:pPr>
      <w:r>
        <w:rPr>
          <w:b/>
          <w:bCs/>
        </w:rPr>
        <w:t xml:space="preserve">Phase 4: AI classifier: </w:t>
      </w:r>
      <w:r>
        <w:t xml:space="preserve">trained on 3,508 synthetic windows with randomised ESP geometries, calibrated on 1,179 and tested on 1,174 independent windows: accuracy 0.994, macro-F1 0.9942, conformal coverage 0.994.</w:t>
      </w:r>
    </w:p>
    <w:p>
      <w:pPr>
        <w:pStyle w:val="ListParagraph"/>
        <w:numPr>
          <w:ilvl w:val="0"/>
          <w:numId w:val="3"/>
        </w:numPr>
        <w:spacing w:after="80" w:line="264"/>
        <w:jc w:val="both"/>
      </w:pPr>
      <w:r>
        <w:rPr>
          <w:b/>
          <w:bCs/>
        </w:rPr>
        <w:t xml:space="preserve">Phase 5: Real-tunnel validation: </w:t>
      </w:r>
      <w:r>
        <w:t xml:space="preserve">captured real tunnels between two strongSwan 6.0.7 gateways in isolated Linux network namespaces, with labelled application traffic, and compared every inference with the known gateway configuration.</w:t>
      </w:r>
    </w:p>
    <w:p>
      <w:pPr>
        <w:pStyle w:val="ListParagraph"/>
        <w:numPr>
          <w:ilvl w:val="0"/>
          <w:numId w:val="3"/>
        </w:numPr>
        <w:spacing w:after="80" w:line="264"/>
        <w:jc w:val="both"/>
      </w:pPr>
      <w:r>
        <w:rPr>
          <w:b/>
          <w:bCs/>
        </w:rPr>
        <w:t xml:space="preserve">Phase 6: Productisation: </w:t>
      </w:r>
      <w:r>
        <w:t xml:space="preserve">native desktop application, live mode, reports, JSON schema, Windows and Debian installers, and a 52-test automated suite covering offline/live parity.</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4526"/>
        <w:gridCol w:w="1200"/>
      </w:tblGrid>
      <w:tr>
        <w:trPr>
          <w:tblHeader/>
        </w:trPr>
        <w:tc>
          <w:tcPr>
            <w:tcW w:type="dxa" w:w="3300"/>
            <w:tcBorders>
              <w:top w:val="single" w:color="B7BDC8" w:sz="4"/>
              <w:left w:val="single" w:color="B7BDC8" w:sz="4"/>
              <w:bottom w:val="single" w:color="B7BDC8" w:sz="4"/>
              <w:right w:val="single" w:color="B7BDC8" w:sz="4"/>
            </w:tcBorders>
            <w:shd w:fill="DCE3EE" w:color="auto" w:val="clear"/>
            <w:tcMar>
              <w:top w:type="dxa" w:w="70"/>
              <w:left w:type="dxa" w:w="110"/>
              <w:bottom w:type="dxa" w:w="70"/>
              <w:right w:type="dxa" w:w="110"/>
            </w:tcMar>
          </w:tcPr>
          <w:p>
            <w:pPr>
              <w:spacing w:after="0" w:line="252"/>
            </w:pPr>
            <w:r>
              <w:rPr>
                <w:b/>
                <w:bCs/>
                <w:sz w:val="19"/>
                <w:szCs w:val="19"/>
              </w:rPr>
              <w:t xml:space="preserve">Real tunnel (strongSwan 6.0.7)</w:t>
            </w:r>
          </w:p>
        </w:tc>
        <w:tc>
          <w:tcPr>
            <w:tcW w:type="dxa" w:w="4526"/>
            <w:tcBorders>
              <w:top w:val="single" w:color="B7BDC8" w:sz="4"/>
              <w:left w:val="single" w:color="B7BDC8" w:sz="4"/>
              <w:bottom w:val="single" w:color="B7BDC8" w:sz="4"/>
              <w:right w:val="single" w:color="B7BDC8" w:sz="4"/>
            </w:tcBorders>
            <w:shd w:fill="DCE3EE" w:color="auto" w:val="clear"/>
            <w:tcMar>
              <w:top w:type="dxa" w:w="70"/>
              <w:left w:type="dxa" w:w="110"/>
              <w:bottom w:type="dxa" w:w="70"/>
              <w:right w:type="dxa" w:w="110"/>
            </w:tcMar>
          </w:tcPr>
          <w:p>
            <w:pPr>
              <w:spacing w:after="0" w:line="252"/>
            </w:pPr>
            <w:r>
              <w:rPr>
                <w:b/>
                <w:bCs/>
                <w:sz w:val="19"/>
                <w:szCs w:val="19"/>
              </w:rPr>
              <w:t xml:space="preserve">What NUNMATHI inferred</w:t>
            </w:r>
          </w:p>
        </w:tc>
        <w:tc>
          <w:tcPr>
            <w:tcW w:type="dxa" w:w="1200"/>
            <w:tcBorders>
              <w:top w:val="single" w:color="B7BDC8" w:sz="4"/>
              <w:left w:val="single" w:color="B7BDC8" w:sz="4"/>
              <w:bottom w:val="single" w:color="B7BDC8" w:sz="4"/>
              <w:right w:val="single" w:color="B7BDC8" w:sz="4"/>
            </w:tcBorders>
            <w:shd w:fill="DCE3EE" w:color="auto" w:val="clear"/>
            <w:tcMar>
              <w:top w:type="dxa" w:w="70"/>
              <w:left w:type="dxa" w:w="110"/>
              <w:bottom w:type="dxa" w:w="70"/>
              <w:right w:type="dxa" w:w="110"/>
            </w:tcMar>
          </w:tcPr>
          <w:p>
            <w:pPr>
              <w:spacing w:after="0" w:line="252"/>
            </w:pPr>
            <w:r>
              <w:rPr>
                <w:b/>
                <w:bCs/>
                <w:sz w:val="19"/>
                <w:szCs w:val="19"/>
              </w:rPr>
              <w:t xml:space="preserve">Grade</w:t>
            </w:r>
          </w:p>
        </w:tc>
      </w:tr>
      <w:tr>
        <w:trPr>
          <w:cantSplit/>
        </w:trPr>
        <w:tc>
          <w:tcPr>
            <w:tcW w:type="dxa" w:w="3300"/>
            <w:tcBorders>
              <w:top w:val="single" w:color="B7BDC8" w:sz="4"/>
              <w:left w:val="single" w:color="B7BDC8" w:sz="4"/>
              <w:bottom w:val="single" w:color="B7BDC8" w:sz="4"/>
              <w:right w:val="single" w:color="B7BDC8" w:sz="4"/>
            </w:tcBorders>
            <w:tcMar>
              <w:top w:type="dxa" w:w="70"/>
              <w:left w:type="dxa" w:w="110"/>
              <w:bottom w:type="dxa" w:w="70"/>
              <w:right w:type="dxa" w:w="110"/>
            </w:tcMar>
          </w:tcPr>
          <w:p>
            <w:pPr>
              <w:spacing w:after="0" w:line="252"/>
            </w:pPr>
            <w:r>
              <w:rPr>
                <w:sz w:val="19"/>
                <w:szCs w:val="19"/>
              </w:rPr>
              <w:t xml:space="preserve">IKEv2 AES-GCM-256 / ECP-384 + ML-KEM-768</w:t>
            </w:r>
          </w:p>
        </w:tc>
        <w:tc>
          <w:tcPr>
            <w:tcW w:type="dxa" w:w="4526"/>
            <w:tcBorders>
              <w:top w:val="single" w:color="B7BDC8" w:sz="4"/>
              <w:left w:val="single" w:color="B7BDC8" w:sz="4"/>
              <w:bottom w:val="single" w:color="B7BDC8" w:sz="4"/>
              <w:right w:val="single" w:color="B7BDC8" w:sz="4"/>
            </w:tcBorders>
            <w:tcMar>
              <w:top w:type="dxa" w:w="70"/>
              <w:left w:type="dxa" w:w="110"/>
              <w:bottom w:type="dxa" w:w="70"/>
              <w:right w:type="dxa" w:w="110"/>
            </w:tcMar>
          </w:tcPr>
          <w:p>
            <w:pPr>
              <w:spacing w:after="0" w:line="252"/>
            </w:pPr>
            <w:r>
              <w:rPr>
                <w:sz w:val="19"/>
                <w:szCs w:val="19"/>
              </w:rPr>
              <w:t xml:space="preserve">Crypto and ML-KEM decoded, PFS (ECP-384), Child SA 30 s, IKE 85 s</w:t>
            </w:r>
          </w:p>
        </w:tc>
        <w:tc>
          <w:tcPr>
            <w:tcW w:type="dxa" w:w="1200"/>
            <w:tcBorders>
              <w:top w:val="single" w:color="B7BDC8" w:sz="4"/>
              <w:left w:val="single" w:color="B7BDC8" w:sz="4"/>
              <w:bottom w:val="single" w:color="B7BDC8" w:sz="4"/>
              <w:right w:val="single" w:color="B7BDC8" w:sz="4"/>
            </w:tcBorders>
            <w:tcMar>
              <w:top w:type="dxa" w:w="70"/>
              <w:left w:type="dxa" w:w="110"/>
              <w:bottom w:type="dxa" w:w="70"/>
              <w:right w:type="dxa" w:w="110"/>
            </w:tcMar>
          </w:tcPr>
          <w:p>
            <w:pPr>
              <w:spacing w:after="0" w:line="252"/>
            </w:pPr>
            <w:r>
              <w:rPr>
                <w:sz w:val="19"/>
                <w:szCs w:val="19"/>
              </w:rPr>
              <w:t xml:space="preserve">A+</w:t>
            </w:r>
          </w:p>
        </w:tc>
      </w:tr>
      <w:tr>
        <w:trPr>
          <w:cantSplit/>
        </w:trPr>
        <w:tc>
          <w:tcPr>
            <w:tcW w:type="dxa" w:w="3300"/>
            <w:tcBorders>
              <w:top w:val="single" w:color="B7BDC8" w:sz="4"/>
              <w:left w:val="single" w:color="B7BDC8" w:sz="4"/>
              <w:bottom w:val="single" w:color="B7BDC8" w:sz="4"/>
              <w:right w:val="single" w:color="B7BDC8" w:sz="4"/>
            </w:tcBorders>
            <w:tcMar>
              <w:top w:type="dxa" w:w="70"/>
              <w:left w:type="dxa" w:w="110"/>
              <w:bottom w:type="dxa" w:w="70"/>
              <w:right w:type="dxa" w:w="110"/>
            </w:tcMar>
          </w:tcPr>
          <w:p>
            <w:pPr>
              <w:spacing w:after="0" w:line="252"/>
            </w:pPr>
            <w:r>
              <w:rPr>
                <w:sz w:val="19"/>
                <w:szCs w:val="19"/>
              </w:rPr>
              <w:t xml:space="preserve">IKEv2 AES-CBC-128 / SHA-256 / MODP-2048, no PFS</w:t>
            </w:r>
          </w:p>
        </w:tc>
        <w:tc>
          <w:tcPr>
            <w:tcW w:type="dxa" w:w="4526"/>
            <w:tcBorders>
              <w:top w:val="single" w:color="B7BDC8" w:sz="4"/>
              <w:left w:val="single" w:color="B7BDC8" w:sz="4"/>
              <w:bottom w:val="single" w:color="B7BDC8" w:sz="4"/>
              <w:right w:val="single" w:color="B7BDC8" w:sz="4"/>
            </w:tcBorders>
            <w:tcMar>
              <w:top w:type="dxa" w:w="70"/>
              <w:left w:type="dxa" w:w="110"/>
              <w:bottom w:type="dxa" w:w="70"/>
              <w:right w:type="dxa" w:w="110"/>
            </w:tcMar>
          </w:tcPr>
          <w:p>
            <w:pPr>
              <w:spacing w:after="0" w:line="252"/>
            </w:pPr>
            <w:r>
              <w:rPr>
                <w:sz w:val="19"/>
                <w:szCs w:val="19"/>
              </w:rPr>
              <w:t xml:space="preserve">ESP "128-bit CBC + 96-bit ICV", PFS disabled</w:t>
            </w:r>
          </w:p>
        </w:tc>
        <w:tc>
          <w:tcPr>
            <w:tcW w:type="dxa" w:w="1200"/>
            <w:tcBorders>
              <w:top w:val="single" w:color="B7BDC8" w:sz="4"/>
              <w:left w:val="single" w:color="B7BDC8" w:sz="4"/>
              <w:bottom w:val="single" w:color="B7BDC8" w:sz="4"/>
              <w:right w:val="single" w:color="B7BDC8" w:sz="4"/>
            </w:tcBorders>
            <w:tcMar>
              <w:top w:type="dxa" w:w="70"/>
              <w:left w:type="dxa" w:w="110"/>
              <w:bottom w:type="dxa" w:w="70"/>
              <w:right w:type="dxa" w:w="110"/>
            </w:tcMar>
          </w:tcPr>
          <w:p>
            <w:pPr>
              <w:spacing w:after="0" w:line="252"/>
            </w:pPr>
            <w:r>
              <w:rPr>
                <w:sz w:val="19"/>
                <w:szCs w:val="19"/>
              </w:rPr>
              <w:t xml:space="preserve">B</w:t>
            </w:r>
          </w:p>
        </w:tc>
      </w:tr>
      <w:tr>
        <w:trPr>
          <w:cantSplit/>
        </w:trPr>
        <w:tc>
          <w:tcPr>
            <w:tcW w:type="dxa" w:w="3300"/>
            <w:tcBorders>
              <w:top w:val="single" w:color="B7BDC8" w:sz="4"/>
              <w:left w:val="single" w:color="B7BDC8" w:sz="4"/>
              <w:bottom w:val="single" w:color="B7BDC8" w:sz="4"/>
              <w:right w:val="single" w:color="B7BDC8" w:sz="4"/>
            </w:tcBorders>
            <w:tcMar>
              <w:top w:type="dxa" w:w="70"/>
              <w:left w:type="dxa" w:w="110"/>
              <w:bottom w:type="dxa" w:w="70"/>
              <w:right w:type="dxa" w:w="110"/>
            </w:tcMar>
          </w:tcPr>
          <w:p>
            <w:pPr>
              <w:spacing w:after="0" w:line="252"/>
            </w:pPr>
            <w:r>
              <w:rPr>
                <w:sz w:val="19"/>
                <w:szCs w:val="19"/>
              </w:rPr>
              <w:t xml:space="preserve">IKEv1 Aggressive PSK, 3DES / SHA-1 / MODP-1024</w:t>
            </w:r>
          </w:p>
        </w:tc>
        <w:tc>
          <w:tcPr>
            <w:tcW w:type="dxa" w:w="4526"/>
            <w:tcBorders>
              <w:top w:val="single" w:color="B7BDC8" w:sz="4"/>
              <w:left w:val="single" w:color="B7BDC8" w:sz="4"/>
              <w:bottom w:val="single" w:color="B7BDC8" w:sz="4"/>
              <w:right w:val="single" w:color="B7BDC8" w:sz="4"/>
            </w:tcBorders>
            <w:tcMar>
              <w:top w:type="dxa" w:w="70"/>
              <w:left w:type="dxa" w:w="110"/>
              <w:bottom w:type="dxa" w:w="70"/>
              <w:right w:type="dxa" w:w="110"/>
            </w:tcMar>
          </w:tcPr>
          <w:p>
            <w:pPr>
              <w:spacing w:after="0" w:line="252"/>
            </w:pPr>
            <w:r>
              <w:rPr>
                <w:sz w:val="19"/>
                <w:szCs w:val="19"/>
              </w:rPr>
              <w:t xml:space="preserve">64-bit block ESP, MODP-1024 and Aggressive PSK flagged</w:t>
            </w:r>
          </w:p>
        </w:tc>
        <w:tc>
          <w:tcPr>
            <w:tcW w:type="dxa" w:w="1200"/>
            <w:tcBorders>
              <w:top w:val="single" w:color="B7BDC8" w:sz="4"/>
              <w:left w:val="single" w:color="B7BDC8" w:sz="4"/>
              <w:bottom w:val="single" w:color="B7BDC8" w:sz="4"/>
              <w:right w:val="single" w:color="B7BDC8" w:sz="4"/>
            </w:tcBorders>
            <w:tcMar>
              <w:top w:type="dxa" w:w="70"/>
              <w:left w:type="dxa" w:w="110"/>
              <w:bottom w:type="dxa" w:w="70"/>
              <w:right w:type="dxa" w:w="110"/>
            </w:tcMar>
          </w:tcPr>
          <w:p>
            <w:pPr>
              <w:spacing w:after="0" w:line="252"/>
            </w:pPr>
            <w:r>
              <w:rPr>
                <w:sz w:val="19"/>
                <w:szCs w:val="19"/>
              </w:rPr>
              <w:t xml:space="preserve">F</w:t>
            </w:r>
          </w:p>
        </w:tc>
      </w:tr>
      <w:tr>
        <w:trPr>
          <w:cantSplit/>
        </w:trPr>
        <w:tc>
          <w:tcPr>
            <w:tcW w:type="dxa" w:w="3300"/>
            <w:tcBorders>
              <w:top w:val="single" w:color="B7BDC8" w:sz="4"/>
              <w:left w:val="single" w:color="B7BDC8" w:sz="4"/>
              <w:bottom w:val="single" w:color="B7BDC8" w:sz="4"/>
              <w:right w:val="single" w:color="B7BDC8" w:sz="4"/>
            </w:tcBorders>
            <w:tcMar>
              <w:top w:type="dxa" w:w="70"/>
              <w:left w:type="dxa" w:w="110"/>
              <w:bottom w:type="dxa" w:w="70"/>
              <w:right w:type="dxa" w:w="110"/>
            </w:tcMar>
          </w:tcPr>
          <w:p>
            <w:pPr>
              <w:spacing w:after="0" w:line="252"/>
            </w:pPr>
            <w:r>
              <w:rPr>
                <w:sz w:val="19"/>
                <w:szCs w:val="19"/>
              </w:rPr>
              <w:t xml:space="preserve">IKEv2 with ESP-NULL</w:t>
            </w:r>
          </w:p>
        </w:tc>
        <w:tc>
          <w:tcPr>
            <w:tcW w:type="dxa" w:w="4526"/>
            <w:tcBorders>
              <w:top w:val="single" w:color="B7BDC8" w:sz="4"/>
              <w:left w:val="single" w:color="B7BDC8" w:sz="4"/>
              <w:bottom w:val="single" w:color="B7BDC8" w:sz="4"/>
              <w:right w:val="single" w:color="B7BDC8" w:sz="4"/>
            </w:tcBorders>
            <w:tcMar>
              <w:top w:type="dxa" w:w="70"/>
              <w:left w:type="dxa" w:w="110"/>
              <w:bottom w:type="dxa" w:w="70"/>
              <w:right w:type="dxa" w:w="110"/>
            </w:tcMar>
          </w:tcPr>
          <w:p>
            <w:pPr>
              <w:spacing w:after="0" w:line="252"/>
            </w:pPr>
            <w:r>
              <w:rPr>
                <w:sz w:val="19"/>
                <w:szCs w:val="19"/>
              </w:rPr>
              <w:t xml:space="preserve">Cleartext inner headers found (NM-120)</w:t>
            </w:r>
          </w:p>
        </w:tc>
        <w:tc>
          <w:tcPr>
            <w:tcW w:type="dxa" w:w="1200"/>
            <w:tcBorders>
              <w:top w:val="single" w:color="B7BDC8" w:sz="4"/>
              <w:left w:val="single" w:color="B7BDC8" w:sz="4"/>
              <w:bottom w:val="single" w:color="B7BDC8" w:sz="4"/>
              <w:right w:val="single" w:color="B7BDC8" w:sz="4"/>
            </w:tcBorders>
            <w:tcMar>
              <w:top w:type="dxa" w:w="70"/>
              <w:left w:type="dxa" w:w="110"/>
              <w:bottom w:type="dxa" w:w="70"/>
              <w:right w:type="dxa" w:w="110"/>
            </w:tcMar>
          </w:tcPr>
          <w:p>
            <w:pPr>
              <w:spacing w:after="0" w:line="252"/>
            </w:pPr>
            <w:r>
              <w:rPr>
                <w:sz w:val="19"/>
                <w:szCs w:val="19"/>
              </w:rPr>
              <w:t xml:space="preserve">F</w:t>
            </w:r>
          </w:p>
        </w:tc>
      </w:tr>
    </w:tbl>
    <w:p>
      <w:pPr>
        <w:spacing w:after="60"/>
      </w:pPr>
    </w:p>
    <w:p>
      <w:pPr>
        <w:spacing w:after="120" w:line="276"/>
        <w:jc w:val="both"/>
      </w:pPr>
      <w:r>
        <w:t xml:space="preserve">On the real tunnels the traffic classifier reached </w:t>
      </w:r>
      <w:r>
        <w:rPr>
          <w:b/>
          <w:bCs/>
        </w:rPr>
        <w:t xml:space="preserve">98.8 %</w:t>
      </w:r>
      <w:r>
        <w:t xml:space="preserve"> top-1 accuracy on 82 labelled windows and </w:t>
      </w:r>
      <w:r>
        <w:rPr>
          <w:b/>
          <w:bCs/>
        </w:rPr>
        <w:t xml:space="preserve">100 %</w:t>
      </w:r>
      <w:r>
        <w:t xml:space="preserve"> on 38 windows of a second, independently recorded traffic profile.</w:t>
      </w:r>
    </w:p>
    <w:p>
      <w:pPr>
        <w:pStyle w:val="Heading1"/>
      </w:pPr>
      <w:r>
        <w:t xml:space="preserve">6. Final System Working</w:t>
      </w:r>
    </w:p>
    <w:p>
      <w:pPr>
        <w:pStyle w:val="ListParagraph"/>
        <w:numPr>
          <w:ilvl w:val="0"/>
          <w:numId w:val="4"/>
        </w:numPr>
        <w:spacing w:after="80" w:line="264"/>
        <w:jc w:val="both"/>
      </w:pPr>
      <w:r>
        <w:rPr>
          <w:b/>
          <w:bCs/>
        </w:rPr>
        <w:t xml:space="preserve">Stage 1: Capture: </w:t>
      </w:r>
      <w:r>
        <w:t xml:space="preserve">the analyst opens a capture, starts a live capture on an interface, or generates one from a testbed scenario.</w:t>
      </w:r>
    </w:p>
    <w:p>
      <w:pPr>
        <w:pStyle w:val="ListParagraph"/>
        <w:numPr>
          <w:ilvl w:val="0"/>
          <w:numId w:val="4"/>
        </w:numPr>
        <w:spacing w:after="80" w:line="264"/>
        <w:jc w:val="both"/>
      </w:pPr>
      <w:r>
        <w:rPr>
          <w:b/>
          <w:bCs/>
        </w:rPr>
        <w:t xml:space="preserve">Stage 2: Decoding: </w:t>
      </w:r>
      <w:r>
        <w:t xml:space="preserve">frames are decoded; IKE messages and ESP packets are extracted per peer pair.</w:t>
      </w:r>
    </w:p>
    <w:p>
      <w:pPr>
        <w:pStyle w:val="ListParagraph"/>
        <w:numPr>
          <w:ilvl w:val="0"/>
          <w:numId w:val="4"/>
        </w:numPr>
        <w:spacing w:after="80" w:line="264"/>
        <w:jc w:val="both"/>
      </w:pPr>
      <w:r>
        <w:rPr>
          <w:b/>
          <w:bCs/>
        </w:rPr>
        <w:t xml:space="preserve">Stage 3: Session reconstruction: </w:t>
      </w:r>
      <w:r>
        <w:t xml:space="preserve">tunnels, IKE SAs and Child SAs are built; rekeys, re-authentication, NAT-T and floods are detected, and the IKE message ladder is drawn.</w:t>
      </w:r>
    </w:p>
    <w:p>
      <w:pPr>
        <w:pStyle w:val="ListParagraph"/>
        <w:numPr>
          <w:ilvl w:val="0"/>
          <w:numId w:val="4"/>
        </w:numPr>
        <w:spacing w:after="80" w:line="264"/>
        <w:jc w:val="both"/>
      </w:pPr>
      <w:r>
        <w:rPr>
          <w:b/>
          <w:bCs/>
        </w:rPr>
        <w:t xml:space="preserve">Stage 4: Cryptographic inference: </w:t>
      </w:r>
      <w:r>
        <w:t xml:space="preserve">negotiated algorithms are read from IKE; ESP geometry, PFS and lifetimes are inferred with a proof for each conclusion.</w:t>
      </w:r>
    </w:p>
    <w:p>
      <w:pPr>
        <w:pStyle w:val="ListParagraph"/>
        <w:numPr>
          <w:ilvl w:val="0"/>
          <w:numId w:val="4"/>
        </w:numPr>
        <w:spacing w:after="80" w:line="264"/>
        <w:jc w:val="both"/>
      </w:pPr>
      <w:r>
        <w:rPr>
          <w:b/>
          <w:bCs/>
        </w:rPr>
        <w:t xml:space="preserve">Stage 5: Traffic intelligence: </w:t>
      </w:r>
      <w:r>
        <w:t xml:space="preserve">5-second windows are classified into application types with conformal sets, OOD flags and the MEI.</w:t>
      </w:r>
    </w:p>
    <w:p>
      <w:pPr>
        <w:pStyle w:val="ListParagraph"/>
        <w:numPr>
          <w:ilvl w:val="0"/>
          <w:numId w:val="4"/>
        </w:numPr>
        <w:spacing w:after="80" w:line="264"/>
        <w:jc w:val="both"/>
      </w:pPr>
      <w:r>
        <w:rPr>
          <w:b/>
          <w:bCs/>
        </w:rPr>
        <w:t xml:space="preserve">Stage 6: Assessment: </w:t>
      </w:r>
      <w:r>
        <w:t xml:space="preserve">rules raise alerts with evidence and references; each tunnel gets a score, a grade and a threat matrix, with an overall AI-confidence summary.</w:t>
      </w:r>
    </w:p>
    <w:p>
      <w:pPr>
        <w:pStyle w:val="ListParagraph"/>
        <w:numPr>
          <w:ilvl w:val="0"/>
          <w:numId w:val="4"/>
        </w:numPr>
        <w:spacing w:after="80" w:line="264"/>
        <w:jc w:val="both"/>
      </w:pPr>
      <w:r>
        <w:rPr>
          <w:b/>
          <w:bCs/>
        </w:rPr>
        <w:t xml:space="preserve">Stage 7: Remediation and reporting: </w:t>
      </w:r>
      <w:r>
        <w:t xml:space="preserve">the What-If twin shows the improved grade and emits vendor configuration; Executive/Technical PDF, HTML and JSON reports are exported for management and SIEM/SOAR.</w:t>
      </w:r>
    </w:p>
    <w:p>
      <w:pPr>
        <w:keepNext/>
        <w:spacing w:after="60" w:before="120"/>
        <w:jc w:val="center"/>
      </w:pPr>
      <w:r>
        <w:drawing>
          <wp:inline distT="0" distB="0" distL="0" distR="0">
            <wp:extent cx="5334000" cy="3409950"/>
            <wp:effectExtent t="0" r="0" b="0" l="0"/>
            <wp:docPr id="2" name="Figure 2: NUNMATHI desktop application, overview of a misconfigured tunnel (grade F)" descr="Figure 2: NUNMATHI desktop application, overview of a misconfigured tunnel (grade F)" title="Figure 2: NUNMATHI desktop application, overview of a misconfigured tunnel (grade 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409950"/>
                    </a:xfrm>
                    <a:prstGeom prst="rect">
                      <a:avLst/>
                    </a:prstGeom>
                  </pic:spPr>
                </pic:pic>
              </a:graphicData>
            </a:graphic>
          </wp:inline>
        </w:drawing>
      </w:r>
    </w:p>
    <w:p>
      <w:pPr>
        <w:spacing w:after="200"/>
        <w:jc w:val="center"/>
      </w:pPr>
      <w:r>
        <w:rPr>
          <w:b/>
          <w:bCs/>
          <w:sz w:val="20"/>
          <w:szCs w:val="20"/>
        </w:rPr>
        <w:t xml:space="preserve">Figure 2: NUNMATHI desktop application, overview of a misconfigured tunnel (grade F)</w:t>
      </w:r>
    </w:p>
    <w:p>
      <w:pPr>
        <w:pStyle w:val="Heading1"/>
      </w:pPr>
      <w:r>
        <w:t xml:space="preserve">7. Impact</w:t>
      </w:r>
    </w:p>
    <w:p>
      <w:pPr>
        <w:pStyle w:val="Heading2"/>
      </w:pPr>
      <w:r>
        <w:t xml:space="preserve">7.1 National Security Impact</w:t>
      </w:r>
    </w:p>
    <w:p>
      <w:pPr>
        <w:spacing w:after="120" w:line="276"/>
        <w:jc w:val="both"/>
      </w:pPr>
      <w:r>
        <w:t xml:space="preserve">Gives NTRO and sector CERTs a way to audit VPN links of ministries, defence establishments and critical-infrastructure operators from traffic alone, without requesting gateway credentials or touching production devices. Weak key exchange, ESP-NULL and missing PFS are found before an adversary exploits them, and post-quantum readiness can be measured across an estate.</w:t>
      </w:r>
    </w:p>
    <w:p>
      <w:pPr>
        <w:pStyle w:val="Heading2"/>
      </w:pPr>
      <w:r>
        <w:t xml:space="preserve">7.2 Operational Impact</w:t>
      </w:r>
    </w:p>
    <w:p>
      <w:pPr>
        <w:spacing w:after="120" w:line="276"/>
        <w:jc w:val="both"/>
      </w:pPr>
      <w:r>
        <w:t xml:space="preserve">A multi-hour manual review of packet dissections and configuration files becomes a graded report within seconds (a 90-minute, 13,000-frame capture is analysed in about 1.5 s). Live mode turns the analyzer into a monitoring sensor that reports rekeys, grade changes and new alerts as they happen.</w:t>
      </w:r>
    </w:p>
    <w:p>
      <w:pPr>
        <w:pStyle w:val="Heading2"/>
      </w:pPr>
      <w:r>
        <w:t xml:space="preserve">7.3 Strategic Impact</w:t>
      </w:r>
    </w:p>
    <w:p>
      <w:pPr>
        <w:spacing w:after="120" w:line="276"/>
        <w:jc w:val="both"/>
      </w:pPr>
      <w:r>
        <w:t xml:space="preserve">An indigenous, offline, open-standards tool reduces dependence on foreign commercial VPN auditing products, and its JSON schema lets it feed national SOC platforms. The metadata exposure measurement informs policy on traffic-flow confidentiality for sensitive links.</w:t>
      </w:r>
    </w:p>
    <w:p>
      <w:pPr>
        <w:pStyle w:val="Heading1"/>
      </w:pPr>
      <w:r>
        <w:t xml:space="preserve">8. Benefits</w:t>
      </w:r>
    </w:p>
    <w:p>
      <w:pPr>
        <w:pStyle w:val="Heading2"/>
      </w:pPr>
      <w:r>
        <w:t xml:space="preserve">8.1 Technical Benefits</w:t>
      </w:r>
    </w:p>
    <w:p>
      <w:pPr>
        <w:pStyle w:val="ListParagraph"/>
        <w:numPr>
          <w:ilvl w:val="0"/>
          <w:numId w:val="2"/>
        </w:numPr>
        <w:spacing w:after="80" w:line="264"/>
        <w:jc w:val="both"/>
      </w:pPr>
      <w:r>
        <w:rPr>
          <w:b/>
          <w:bCs/>
        </w:rPr>
        <w:t xml:space="preserve">Key-less: </w:t>
      </w:r>
      <w:r>
        <w:t xml:space="preserve">no decryption, no credentials, no packets injected; safe for production and third-party links.</w:t>
      </w:r>
    </w:p>
    <w:p>
      <w:pPr>
        <w:pStyle w:val="ListParagraph"/>
        <w:numPr>
          <w:ilvl w:val="0"/>
          <w:numId w:val="2"/>
        </w:numPr>
        <w:spacing w:after="80" w:line="264"/>
        <w:jc w:val="both"/>
      </w:pPr>
      <w:r>
        <w:rPr>
          <w:b/>
          <w:bCs/>
        </w:rPr>
        <w:t xml:space="preserve">Evidence-based: </w:t>
      </w:r>
      <w:r>
        <w:t xml:space="preserve">every conclusion has a proof or evidence trail and an explicit confidence level.</w:t>
      </w:r>
    </w:p>
    <w:p>
      <w:pPr>
        <w:pStyle w:val="ListParagraph"/>
        <w:numPr>
          <w:ilvl w:val="0"/>
          <w:numId w:val="2"/>
        </w:numPr>
        <w:spacing w:after="80" w:line="264"/>
        <w:jc w:val="both"/>
      </w:pPr>
      <w:r>
        <w:rPr>
          <w:b/>
          <w:bCs/>
        </w:rPr>
        <w:t xml:space="preserve">Broad coverage: </w:t>
      </w:r>
      <w:r>
        <w:t xml:space="preserve">IKEv1 and IKEv2, IPv4 and IPv6, tunnel and transport mode, NAT-T, fragmentation, RFC 9370 hybrid PQ.</w:t>
      </w:r>
    </w:p>
    <w:p>
      <w:pPr>
        <w:pStyle w:val="Heading2"/>
      </w:pPr>
      <w:r>
        <w:t xml:space="preserve">8.2 Operational Benefits</w:t>
      </w:r>
    </w:p>
    <w:p>
      <w:pPr>
        <w:pStyle w:val="ListParagraph"/>
        <w:numPr>
          <w:ilvl w:val="0"/>
          <w:numId w:val="2"/>
        </w:numPr>
        <w:spacing w:after="80" w:line="264"/>
        <w:jc w:val="both"/>
      </w:pPr>
      <w:r>
        <w:rPr>
          <w:b/>
          <w:bCs/>
        </w:rPr>
        <w:t xml:space="preserve">Standalone: </w:t>
      </w:r>
      <w:r>
        <w:t xml:space="preserve">a single native application installed from an .exe or .deb; works fully air-gapped.</w:t>
      </w:r>
    </w:p>
    <w:p>
      <w:pPr>
        <w:pStyle w:val="ListParagraph"/>
        <w:numPr>
          <w:ilvl w:val="0"/>
          <w:numId w:val="2"/>
        </w:numPr>
        <w:spacing w:after="80" w:line="264"/>
        <w:jc w:val="both"/>
      </w:pPr>
      <w:r>
        <w:rPr>
          <w:b/>
          <w:bCs/>
        </w:rPr>
        <w:t xml:space="preserve">Familiar workflow: </w:t>
      </w:r>
      <w:r>
        <w:t xml:space="preserve">OWASP-ZAP-style interface with Sites tree, alerts, history and one-click reports.</w:t>
      </w:r>
    </w:p>
    <w:p>
      <w:pPr>
        <w:pStyle w:val="ListParagraph"/>
        <w:numPr>
          <w:ilvl w:val="0"/>
          <w:numId w:val="2"/>
        </w:numPr>
        <w:spacing w:after="80" w:line="264"/>
        <w:jc w:val="both"/>
      </w:pPr>
      <w:r>
        <w:rPr>
          <w:b/>
          <w:bCs/>
        </w:rPr>
        <w:t xml:space="preserve">Direct remediation: </w:t>
      </w:r>
      <w:r>
        <w:t xml:space="preserve">generated strongSwan, libreswan and Cisco IOS configurations with a verify loop.</w:t>
      </w:r>
    </w:p>
    <w:p>
      <w:pPr>
        <w:pStyle w:val="Heading2"/>
      </w:pPr>
      <w:r>
        <w:t xml:space="preserve">8.3 Economic Benefits</w:t>
      </w:r>
    </w:p>
    <w:p>
      <w:pPr>
        <w:spacing w:after="120" w:line="276"/>
        <w:jc w:val="both"/>
      </w:pPr>
      <w:r>
        <w:t xml:space="preserve">Built entirely on open-source components with no licence fees and ordinary laptops as the only hardware; the testbed removes the need for dedicated VPN appliances during training and evaluation.</w:t>
      </w:r>
    </w:p>
    <w:p>
      <w:pPr>
        <w:pStyle w:val="Heading2"/>
      </w:pPr>
      <w:r>
        <w:t xml:space="preserve">8.4 Educational and Research Benefits</w:t>
      </w:r>
    </w:p>
    <w:p>
      <w:pPr>
        <w:spacing w:after="120" w:line="276"/>
        <w:jc w:val="both"/>
      </w:pPr>
      <w:r>
        <w:t xml:space="preserve">The testbed, geometry proofs, IKE ladder diagrams and model card make the tool a teaching platform for IPsec internals and encrypted-traffic analysis, and the forge provides labelled data for further research.</w:t>
      </w:r>
    </w:p>
    <w:p>
      <w:pPr>
        <w:pStyle w:val="Heading1"/>
      </w:pPr>
      <w:r>
        <w:t xml:space="preserve">9. Technical Challenges and Engineered Solutions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626"/>
      </w:tblGrid>
      <w:tr>
        <w:trPr>
          <w:tblHeader/>
        </w:trPr>
        <w:tc>
          <w:tcPr>
            <w:tcW w:type="dxa" w:w="2600"/>
            <w:tcBorders>
              <w:top w:val="single" w:color="B7BDC8" w:sz="4"/>
              <w:left w:val="single" w:color="B7BDC8" w:sz="4"/>
              <w:bottom w:val="single" w:color="B7BDC8" w:sz="4"/>
              <w:right w:val="single" w:color="B7BDC8" w:sz="4"/>
            </w:tcBorders>
            <w:shd w:fill="DCE3EE" w:color="auto" w:val="clear"/>
            <w:tcMar>
              <w:top w:type="dxa" w:w="70"/>
              <w:left w:type="dxa" w:w="110"/>
              <w:bottom w:type="dxa" w:w="70"/>
              <w:right w:type="dxa" w:w="110"/>
            </w:tcMar>
          </w:tcPr>
          <w:p>
            <w:pPr>
              <w:spacing w:after="0" w:line="252"/>
            </w:pPr>
            <w:r>
              <w:rPr>
                <w:b/>
                <w:bCs/>
                <w:sz w:val="19"/>
                <w:szCs w:val="19"/>
              </w:rPr>
              <w:t xml:space="preserve">Challenge</w:t>
            </w:r>
          </w:p>
        </w:tc>
        <w:tc>
          <w:tcPr>
            <w:tcW w:type="dxa" w:w="2800"/>
            <w:tcBorders>
              <w:top w:val="single" w:color="B7BDC8" w:sz="4"/>
              <w:left w:val="single" w:color="B7BDC8" w:sz="4"/>
              <w:bottom w:val="single" w:color="B7BDC8" w:sz="4"/>
              <w:right w:val="single" w:color="B7BDC8" w:sz="4"/>
            </w:tcBorders>
            <w:shd w:fill="DCE3EE" w:color="auto" w:val="clear"/>
            <w:tcMar>
              <w:top w:type="dxa" w:w="70"/>
              <w:left w:type="dxa" w:w="110"/>
              <w:bottom w:type="dxa" w:w="70"/>
              <w:right w:type="dxa" w:w="110"/>
            </w:tcMar>
          </w:tcPr>
          <w:p>
            <w:pPr>
              <w:spacing w:after="0" w:line="252"/>
            </w:pPr>
            <w:r>
              <w:rPr>
                <w:b/>
                <w:bCs/>
                <w:sz w:val="19"/>
                <w:szCs w:val="19"/>
              </w:rPr>
              <w:t xml:space="preserve">Impact</w:t>
            </w:r>
          </w:p>
        </w:tc>
        <w:tc>
          <w:tcPr>
            <w:tcW w:type="dxa" w:w="3626"/>
            <w:tcBorders>
              <w:top w:val="single" w:color="B7BDC8" w:sz="4"/>
              <w:left w:val="single" w:color="B7BDC8" w:sz="4"/>
              <w:bottom w:val="single" w:color="B7BDC8" w:sz="4"/>
              <w:right w:val="single" w:color="B7BDC8" w:sz="4"/>
            </w:tcBorders>
            <w:shd w:fill="DCE3EE" w:color="auto" w:val="clear"/>
            <w:tcMar>
              <w:top w:type="dxa" w:w="70"/>
              <w:left w:type="dxa" w:w="110"/>
              <w:bottom w:type="dxa" w:w="70"/>
              <w:right w:type="dxa" w:w="110"/>
            </w:tcMar>
          </w:tcPr>
          <w:p>
            <w:pPr>
              <w:spacing w:after="0" w:line="252"/>
            </w:pPr>
            <w:r>
              <w:rPr>
                <w:b/>
                <w:bCs/>
                <w:sz w:val="19"/>
                <w:szCs w:val="19"/>
              </w:rPr>
              <w:t xml:space="preserve">Engineered solution</w:t>
            </w:r>
          </w:p>
        </w:tc>
      </w:tr>
      <w:tr>
        <w:trPr>
          <w:cantSplit/>
        </w:trPr>
        <w:tc>
          <w:tcPr>
            <w:tcW w:type="dxa" w:w="2600"/>
            <w:tcBorders>
              <w:top w:val="single" w:color="B7BDC8" w:sz="4"/>
              <w:left w:val="single" w:color="B7BDC8" w:sz="4"/>
              <w:bottom w:val="single" w:color="B7BDC8" w:sz="4"/>
              <w:right w:val="single" w:color="B7BDC8" w:sz="4"/>
            </w:tcBorders>
            <w:tcMar>
              <w:top w:type="dxa" w:w="70"/>
              <w:left w:type="dxa" w:w="110"/>
              <w:bottom w:type="dxa" w:w="70"/>
              <w:right w:type="dxa" w:w="110"/>
            </w:tcMar>
          </w:tcPr>
          <w:p>
            <w:pPr>
              <w:spacing w:after="0" w:line="252"/>
            </w:pPr>
            <w:r>
              <w:rPr>
                <w:sz w:val="19"/>
                <w:szCs w:val="19"/>
              </w:rPr>
              <w:t xml:space="preserve">Payload is encrypted and keys are unavailable</w:t>
            </w:r>
          </w:p>
        </w:tc>
        <w:tc>
          <w:tcPr>
            <w:tcW w:type="dxa" w:w="2800"/>
            <w:tcBorders>
              <w:top w:val="single" w:color="B7BDC8" w:sz="4"/>
              <w:left w:val="single" w:color="B7BDC8" w:sz="4"/>
              <w:bottom w:val="single" w:color="B7BDC8" w:sz="4"/>
              <w:right w:val="single" w:color="B7BDC8" w:sz="4"/>
            </w:tcBorders>
            <w:tcMar>
              <w:top w:type="dxa" w:w="70"/>
              <w:left w:type="dxa" w:w="110"/>
              <w:bottom w:type="dxa" w:w="70"/>
              <w:right w:type="dxa" w:w="110"/>
            </w:tcMar>
          </w:tcPr>
          <w:p>
            <w:pPr>
              <w:spacing w:after="0" w:line="252"/>
            </w:pPr>
            <w:r>
              <w:rPr>
                <w:sz w:val="19"/>
                <w:szCs w:val="19"/>
              </w:rPr>
              <w:t xml:space="preserve">Cipher and integrity algorithm of ESP cannot be read</w:t>
            </w:r>
          </w:p>
        </w:tc>
        <w:tc>
          <w:tcPr>
            <w:tcW w:type="dxa" w:w="3626"/>
            <w:tcBorders>
              <w:top w:val="single" w:color="B7BDC8" w:sz="4"/>
              <w:left w:val="single" w:color="B7BDC8" w:sz="4"/>
              <w:bottom w:val="single" w:color="B7BDC8" w:sz="4"/>
              <w:right w:val="single" w:color="B7BDC8" w:sz="4"/>
            </w:tcBorders>
            <w:tcMar>
              <w:top w:type="dxa" w:w="70"/>
              <w:left w:type="dxa" w:w="110"/>
              <w:bottom w:type="dxa" w:w="70"/>
              <w:right w:type="dxa" w:w="110"/>
            </w:tcMar>
          </w:tcPr>
          <w:p>
            <w:pPr>
              <w:spacing w:after="0" w:line="252"/>
            </w:pPr>
            <w:r>
              <w:rPr>
                <w:sz w:val="19"/>
                <w:szCs w:val="19"/>
              </w:rPr>
              <w:t xml:space="preserve">Length-congruence geometry solver with per-hypothesis proofs and equivalence classes</w:t>
            </w:r>
          </w:p>
        </w:tc>
      </w:tr>
      <w:tr>
        <w:trPr>
          <w:cantSplit/>
        </w:trPr>
        <w:tc>
          <w:tcPr>
            <w:tcW w:type="dxa" w:w="2600"/>
            <w:tcBorders>
              <w:top w:val="single" w:color="B7BDC8" w:sz="4"/>
              <w:left w:val="single" w:color="B7BDC8" w:sz="4"/>
              <w:bottom w:val="single" w:color="B7BDC8" w:sz="4"/>
              <w:right w:val="single" w:color="B7BDC8" w:sz="4"/>
            </w:tcBorders>
            <w:tcMar>
              <w:top w:type="dxa" w:w="70"/>
              <w:left w:type="dxa" w:w="110"/>
              <w:bottom w:type="dxa" w:w="70"/>
              <w:right w:type="dxa" w:w="110"/>
            </w:tcMar>
          </w:tcPr>
          <w:p>
            <w:pPr>
              <w:spacing w:after="0" w:line="252"/>
            </w:pPr>
            <w:r>
              <w:rPr>
                <w:sz w:val="19"/>
                <w:szCs w:val="19"/>
              </w:rPr>
              <w:t xml:space="preserve">IKEv2 hides later exchanges in SK payloads</w:t>
            </w:r>
          </w:p>
        </w:tc>
        <w:tc>
          <w:tcPr>
            <w:tcW w:type="dxa" w:w="2800"/>
            <w:tcBorders>
              <w:top w:val="single" w:color="B7BDC8" w:sz="4"/>
              <w:left w:val="single" w:color="B7BDC8" w:sz="4"/>
              <w:bottom w:val="single" w:color="B7BDC8" w:sz="4"/>
              <w:right w:val="single" w:color="B7BDC8" w:sz="4"/>
            </w:tcBorders>
            <w:tcMar>
              <w:top w:type="dxa" w:w="70"/>
              <w:left w:type="dxa" w:w="110"/>
              <w:bottom w:type="dxa" w:w="70"/>
              <w:right w:type="dxa" w:w="110"/>
            </w:tcMar>
          </w:tcPr>
          <w:p>
            <w:pPr>
              <w:spacing w:after="0" w:line="252"/>
            </w:pPr>
            <w:r>
              <w:rPr>
                <w:sz w:val="19"/>
                <w:szCs w:val="19"/>
              </w:rPr>
              <w:t xml:space="preserve">PFS on rekey not directly visible</w:t>
            </w:r>
          </w:p>
        </w:tc>
        <w:tc>
          <w:tcPr>
            <w:tcW w:type="dxa" w:w="3626"/>
            <w:tcBorders>
              <w:top w:val="single" w:color="B7BDC8" w:sz="4"/>
              <w:left w:val="single" w:color="B7BDC8" w:sz="4"/>
              <w:bottom w:val="single" w:color="B7BDC8" w:sz="4"/>
              <w:right w:val="single" w:color="B7BDC8" w:sz="4"/>
            </w:tcBorders>
            <w:tcMar>
              <w:top w:type="dxa" w:w="70"/>
              <w:left w:type="dxa" w:w="110"/>
              <w:bottom w:type="dxa" w:w="70"/>
              <w:right w:type="dxa" w:w="110"/>
            </w:tcMar>
          </w:tcPr>
          <w:p>
            <w:pPr>
              <w:spacing w:after="0" w:line="252"/>
            </w:pPr>
            <w:r>
              <w:rPr>
                <w:sz w:val="19"/>
                <w:szCs w:val="19"/>
              </w:rPr>
              <w:t xml:space="preserve">Size-differential inference on CREATE_CHILD_SA with the negotiated geometry</w:t>
            </w:r>
          </w:p>
        </w:tc>
      </w:tr>
      <w:tr>
        <w:trPr>
          <w:cantSplit/>
        </w:trPr>
        <w:tc>
          <w:tcPr>
            <w:tcW w:type="dxa" w:w="2600"/>
            <w:tcBorders>
              <w:top w:val="single" w:color="B7BDC8" w:sz="4"/>
              <w:left w:val="single" w:color="B7BDC8" w:sz="4"/>
              <w:bottom w:val="single" w:color="B7BDC8" w:sz="4"/>
              <w:right w:val="single" w:color="B7BDC8" w:sz="4"/>
            </w:tcBorders>
            <w:tcMar>
              <w:top w:type="dxa" w:w="70"/>
              <w:left w:type="dxa" w:w="110"/>
              <w:bottom w:type="dxa" w:w="70"/>
              <w:right w:type="dxa" w:w="110"/>
            </w:tcMar>
          </w:tcPr>
          <w:p>
            <w:pPr>
              <w:spacing w:after="0" w:line="252"/>
            </w:pPr>
            <w:r>
              <w:rPr>
                <w:sz w:val="19"/>
                <w:szCs w:val="19"/>
              </w:rPr>
              <w:t xml:space="preserve">Constant-size traffic (voice)</w:t>
            </w:r>
          </w:p>
        </w:tc>
        <w:tc>
          <w:tcPr>
            <w:tcW w:type="dxa" w:w="2800"/>
            <w:tcBorders>
              <w:top w:val="single" w:color="B7BDC8" w:sz="4"/>
              <w:left w:val="single" w:color="B7BDC8" w:sz="4"/>
              <w:bottom w:val="single" w:color="B7BDC8" w:sz="4"/>
              <w:right w:val="single" w:color="B7BDC8" w:sz="4"/>
            </w:tcBorders>
            <w:tcMar>
              <w:top w:type="dxa" w:w="70"/>
              <w:left w:type="dxa" w:w="110"/>
              <w:bottom w:type="dxa" w:w="70"/>
              <w:right w:type="dxa" w:w="110"/>
            </w:tcMar>
          </w:tcPr>
          <w:p>
            <w:pPr>
              <w:spacing w:after="0" w:line="252"/>
            </w:pPr>
            <w:r>
              <w:rPr>
                <w:sz w:val="19"/>
                <w:szCs w:val="19"/>
              </w:rPr>
              <w:t xml:space="preserve">Too few distinct lengths to decide the block size</w:t>
            </w:r>
          </w:p>
        </w:tc>
        <w:tc>
          <w:tcPr>
            <w:tcW w:type="dxa" w:w="3626"/>
            <w:tcBorders>
              <w:top w:val="single" w:color="B7BDC8" w:sz="4"/>
              <w:left w:val="single" w:color="B7BDC8" w:sz="4"/>
              <w:bottom w:val="single" w:color="B7BDC8" w:sz="4"/>
              <w:right w:val="single" w:color="B7BDC8" w:sz="4"/>
            </w:tcBorders>
            <w:tcMar>
              <w:top w:type="dxa" w:w="70"/>
              <w:left w:type="dxa" w:w="110"/>
              <w:bottom w:type="dxa" w:w="70"/>
              <w:right w:type="dxa" w:w="110"/>
            </w:tcMar>
          </w:tcPr>
          <w:p>
            <w:pPr>
              <w:spacing w:after="0" w:line="252"/>
            </w:pPr>
            <w:r>
              <w:rPr>
                <w:sz w:val="19"/>
                <w:szCs w:val="19"/>
              </w:rPr>
              <w:t xml:space="preserve">"Ambiguous" label with spurious-fit probability and all alternatives listed</w:t>
            </w:r>
          </w:p>
        </w:tc>
      </w:tr>
      <w:tr>
        <w:trPr>
          <w:cantSplit/>
        </w:trPr>
        <w:tc>
          <w:tcPr>
            <w:tcW w:type="dxa" w:w="2600"/>
            <w:tcBorders>
              <w:top w:val="single" w:color="B7BDC8" w:sz="4"/>
              <w:left w:val="single" w:color="B7BDC8" w:sz="4"/>
              <w:bottom w:val="single" w:color="B7BDC8" w:sz="4"/>
              <w:right w:val="single" w:color="B7BDC8" w:sz="4"/>
            </w:tcBorders>
            <w:tcMar>
              <w:top w:type="dxa" w:w="70"/>
              <w:left w:type="dxa" w:w="110"/>
              <w:bottom w:type="dxa" w:w="70"/>
              <w:right w:type="dxa" w:w="110"/>
            </w:tcMar>
          </w:tcPr>
          <w:p>
            <w:pPr>
              <w:spacing w:after="0" w:line="252"/>
            </w:pPr>
            <w:r>
              <w:rPr>
                <w:sz w:val="19"/>
                <w:szCs w:val="19"/>
              </w:rPr>
              <w:t xml:space="preserve">Different ESP overheads per tunnel</w:t>
            </w:r>
          </w:p>
        </w:tc>
        <w:tc>
          <w:tcPr>
            <w:tcW w:type="dxa" w:w="2800"/>
            <w:tcBorders>
              <w:top w:val="single" w:color="B7BDC8" w:sz="4"/>
              <w:left w:val="single" w:color="B7BDC8" w:sz="4"/>
              <w:bottom w:val="single" w:color="B7BDC8" w:sz="4"/>
              <w:right w:val="single" w:color="B7BDC8" w:sz="4"/>
            </w:tcBorders>
            <w:tcMar>
              <w:top w:type="dxa" w:w="70"/>
              <w:left w:type="dxa" w:w="110"/>
              <w:bottom w:type="dxa" w:w="70"/>
              <w:right w:type="dxa" w:w="110"/>
            </w:tcMar>
          </w:tcPr>
          <w:p>
            <w:pPr>
              <w:spacing w:after="0" w:line="252"/>
            </w:pPr>
            <w:r>
              <w:rPr>
                <w:sz w:val="19"/>
                <w:szCs w:val="19"/>
              </w:rPr>
              <w:t xml:space="preserve">Classifier features shift between AEAD and CBC</w:t>
            </w:r>
          </w:p>
        </w:tc>
        <w:tc>
          <w:tcPr>
            <w:tcW w:type="dxa" w:w="3626"/>
            <w:tcBorders>
              <w:top w:val="single" w:color="B7BDC8" w:sz="4"/>
              <w:left w:val="single" w:color="B7BDC8" w:sz="4"/>
              <w:bottom w:val="single" w:color="B7BDC8" w:sz="4"/>
              <w:right w:val="single" w:color="B7BDC8" w:sz="4"/>
            </w:tcBorders>
            <w:tcMar>
              <w:top w:type="dxa" w:w="70"/>
              <w:left w:type="dxa" w:w="110"/>
              <w:bottom w:type="dxa" w:w="70"/>
              <w:right w:type="dxa" w:w="110"/>
            </w:tcMar>
          </w:tcPr>
          <w:p>
            <w:pPr>
              <w:spacing w:after="0" w:line="252"/>
            </w:pPr>
            <w:r>
              <w:rPr>
                <w:sz w:val="19"/>
                <w:szCs w:val="19"/>
              </w:rPr>
              <w:t xml:space="preserve">Overhead normalisation and training over randomised geometries</w:t>
            </w:r>
          </w:p>
        </w:tc>
      </w:tr>
      <w:tr>
        <w:trPr>
          <w:cantSplit/>
        </w:trPr>
        <w:tc>
          <w:tcPr>
            <w:tcW w:type="dxa" w:w="2600"/>
            <w:tcBorders>
              <w:top w:val="single" w:color="B7BDC8" w:sz="4"/>
              <w:left w:val="single" w:color="B7BDC8" w:sz="4"/>
              <w:bottom w:val="single" w:color="B7BDC8" w:sz="4"/>
              <w:right w:val="single" w:color="B7BDC8" w:sz="4"/>
            </w:tcBorders>
            <w:tcMar>
              <w:top w:type="dxa" w:w="70"/>
              <w:left w:type="dxa" w:w="110"/>
              <w:bottom w:type="dxa" w:w="70"/>
              <w:right w:type="dxa" w:w="110"/>
            </w:tcMar>
          </w:tcPr>
          <w:p>
            <w:pPr>
              <w:spacing w:after="0" w:line="252"/>
            </w:pPr>
            <w:r>
              <w:rPr>
                <w:sz w:val="19"/>
                <w:szCs w:val="19"/>
              </w:rPr>
              <w:t xml:space="preserve">Synthetic-to-real gap</w:t>
            </w:r>
          </w:p>
        </w:tc>
        <w:tc>
          <w:tcPr>
            <w:tcW w:type="dxa" w:w="2800"/>
            <w:tcBorders>
              <w:top w:val="single" w:color="B7BDC8" w:sz="4"/>
              <w:left w:val="single" w:color="B7BDC8" w:sz="4"/>
              <w:bottom w:val="single" w:color="B7BDC8" w:sz="4"/>
              <w:right w:val="single" w:color="B7BDC8" w:sz="4"/>
            </w:tcBorders>
            <w:tcMar>
              <w:top w:type="dxa" w:w="70"/>
              <w:left w:type="dxa" w:w="110"/>
              <w:bottom w:type="dxa" w:w="70"/>
              <w:right w:type="dxa" w:w="110"/>
            </w:tcMar>
          </w:tcPr>
          <w:p>
            <w:pPr>
              <w:spacing w:after="0" w:line="252"/>
            </w:pPr>
            <w:r>
              <w:rPr>
                <w:sz w:val="19"/>
                <w:szCs w:val="19"/>
              </w:rPr>
              <w:t xml:space="preserve">First model scored 0.46 on real traffic</w:t>
            </w:r>
          </w:p>
        </w:tc>
        <w:tc>
          <w:tcPr>
            <w:tcW w:type="dxa" w:w="3626"/>
            <w:tcBorders>
              <w:top w:val="single" w:color="B7BDC8" w:sz="4"/>
              <w:left w:val="single" w:color="B7BDC8" w:sz="4"/>
              <w:bottom w:val="single" w:color="B7BDC8" w:sz="4"/>
              <w:right w:val="single" w:color="B7BDC8" w:sz="4"/>
            </w:tcBorders>
            <w:tcMar>
              <w:top w:type="dxa" w:w="70"/>
              <w:left w:type="dxa" w:w="110"/>
              <w:bottom w:type="dxa" w:w="70"/>
              <w:right w:type="dxa" w:w="110"/>
            </w:tcMar>
          </w:tcPr>
          <w:p>
            <w:pPr>
              <w:spacing w:after="0" w:line="252"/>
            </w:pPr>
            <w:r>
              <w:rPr>
                <w:sz w:val="19"/>
                <w:szCs w:val="19"/>
              </w:rPr>
              <w:t xml:space="preserve">Widened generators (UDP video, plain HTTP, CBR codecs); re-validated on a held-back real profile (1.000)</w:t>
            </w:r>
          </w:p>
        </w:tc>
      </w:tr>
      <w:tr>
        <w:trPr>
          <w:cantSplit/>
        </w:trPr>
        <w:tc>
          <w:tcPr>
            <w:tcW w:type="dxa" w:w="2600"/>
            <w:tcBorders>
              <w:top w:val="single" w:color="B7BDC8" w:sz="4"/>
              <w:left w:val="single" w:color="B7BDC8" w:sz="4"/>
              <w:bottom w:val="single" w:color="B7BDC8" w:sz="4"/>
              <w:right w:val="single" w:color="B7BDC8" w:sz="4"/>
            </w:tcBorders>
            <w:tcMar>
              <w:top w:type="dxa" w:w="70"/>
              <w:left w:type="dxa" w:w="110"/>
              <w:bottom w:type="dxa" w:w="70"/>
              <w:right w:type="dxa" w:w="110"/>
            </w:tcMar>
          </w:tcPr>
          <w:p>
            <w:pPr>
              <w:spacing w:after="0" w:line="252"/>
            </w:pPr>
            <w:r>
              <w:rPr>
                <w:sz w:val="19"/>
                <w:szCs w:val="19"/>
              </w:rPr>
              <w:t xml:space="preserve">Over-confident ML output</w:t>
            </w:r>
          </w:p>
        </w:tc>
        <w:tc>
          <w:tcPr>
            <w:tcW w:type="dxa" w:w="2800"/>
            <w:tcBorders>
              <w:top w:val="single" w:color="B7BDC8" w:sz="4"/>
              <w:left w:val="single" w:color="B7BDC8" w:sz="4"/>
              <w:bottom w:val="single" w:color="B7BDC8" w:sz="4"/>
              <w:right w:val="single" w:color="B7BDC8" w:sz="4"/>
            </w:tcBorders>
            <w:tcMar>
              <w:top w:type="dxa" w:w="70"/>
              <w:left w:type="dxa" w:w="110"/>
              <w:bottom w:type="dxa" w:w="70"/>
              <w:right w:type="dxa" w:w="110"/>
            </w:tcMar>
          </w:tcPr>
          <w:p>
            <w:pPr>
              <w:spacing w:after="0" w:line="252"/>
            </w:pPr>
            <w:r>
              <w:rPr>
                <w:sz w:val="19"/>
                <w:szCs w:val="19"/>
              </w:rPr>
              <w:t xml:space="preserve">Misleading single-label verdicts</w:t>
            </w:r>
          </w:p>
        </w:tc>
        <w:tc>
          <w:tcPr>
            <w:tcW w:type="dxa" w:w="3626"/>
            <w:tcBorders>
              <w:top w:val="single" w:color="B7BDC8" w:sz="4"/>
              <w:left w:val="single" w:color="B7BDC8" w:sz="4"/>
              <w:bottom w:val="single" w:color="B7BDC8" w:sz="4"/>
              <w:right w:val="single" w:color="B7BDC8" w:sz="4"/>
            </w:tcBorders>
            <w:tcMar>
              <w:top w:type="dxa" w:w="70"/>
              <w:left w:type="dxa" w:w="110"/>
              <w:bottom w:type="dxa" w:w="70"/>
              <w:right w:type="dxa" w:w="110"/>
            </w:tcMar>
          </w:tcPr>
          <w:p>
            <w:pPr>
              <w:spacing w:after="0" w:line="252"/>
            </w:pPr>
            <w:r>
              <w:rPr>
                <w:sz w:val="19"/>
                <w:szCs w:val="19"/>
              </w:rPr>
              <w:t xml:space="preserve">Split-conformal prediction sets, OOD detection and MEI</w:t>
            </w:r>
          </w:p>
        </w:tc>
      </w:tr>
      <w:tr>
        <w:trPr>
          <w:cantSplit/>
        </w:trPr>
        <w:tc>
          <w:tcPr>
            <w:tcW w:type="dxa" w:w="2600"/>
            <w:tcBorders>
              <w:top w:val="single" w:color="B7BDC8" w:sz="4"/>
              <w:left w:val="single" w:color="B7BDC8" w:sz="4"/>
              <w:bottom w:val="single" w:color="B7BDC8" w:sz="4"/>
              <w:right w:val="single" w:color="B7BDC8" w:sz="4"/>
            </w:tcBorders>
            <w:tcMar>
              <w:top w:type="dxa" w:w="70"/>
              <w:left w:type="dxa" w:w="110"/>
              <w:bottom w:type="dxa" w:w="70"/>
              <w:right w:type="dxa" w:w="110"/>
            </w:tcMar>
          </w:tcPr>
          <w:p>
            <w:pPr>
              <w:spacing w:after="0" w:line="252"/>
            </w:pPr>
            <w:r>
              <w:rPr>
                <w:sz w:val="19"/>
                <w:szCs w:val="19"/>
              </w:rPr>
              <w:t xml:space="preserve">Mid-session live captures</w:t>
            </w:r>
          </w:p>
        </w:tc>
        <w:tc>
          <w:tcPr>
            <w:tcW w:type="dxa" w:w="2800"/>
            <w:tcBorders>
              <w:top w:val="single" w:color="B7BDC8" w:sz="4"/>
              <w:left w:val="single" w:color="B7BDC8" w:sz="4"/>
              <w:bottom w:val="single" w:color="B7BDC8" w:sz="4"/>
              <w:right w:val="single" w:color="B7BDC8" w:sz="4"/>
            </w:tcBorders>
            <w:tcMar>
              <w:top w:type="dxa" w:w="70"/>
              <w:left w:type="dxa" w:w="110"/>
              <w:bottom w:type="dxa" w:w="70"/>
              <w:right w:type="dxa" w:w="110"/>
            </w:tcMar>
          </w:tcPr>
          <w:p>
            <w:pPr>
              <w:spacing w:after="0" w:line="252"/>
            </w:pPr>
            <w:r>
              <w:rPr>
                <w:sz w:val="19"/>
                <w:szCs w:val="19"/>
              </w:rPr>
              <w:t xml:space="preserve">Missing IKE_SA_INIT and partial SAs</w:t>
            </w:r>
          </w:p>
        </w:tc>
        <w:tc>
          <w:tcPr>
            <w:tcW w:type="dxa" w:w="3626"/>
            <w:tcBorders>
              <w:top w:val="single" w:color="B7BDC8" w:sz="4"/>
              <w:left w:val="single" w:color="B7BDC8" w:sz="4"/>
              <w:bottom w:val="single" w:color="B7BDC8" w:sz="4"/>
              <w:right w:val="single" w:color="B7BDC8" w:sz="4"/>
            </w:tcBorders>
            <w:tcMar>
              <w:top w:type="dxa" w:w="70"/>
              <w:left w:type="dxa" w:w="110"/>
              <w:bottom w:type="dxa" w:w="70"/>
              <w:right w:type="dxa" w:w="110"/>
            </w:tcMar>
          </w:tcPr>
          <w:p>
            <w:pPr>
              <w:spacing w:after="0" w:line="252"/>
            </w:pPr>
            <w:r>
              <w:rPr>
                <w:sz w:val="19"/>
                <w:szCs w:val="19"/>
              </w:rPr>
              <w:t xml:space="preserve">Unknown-aware reporting, lower-bound lifetimes, offline/live parity tests</w:t>
            </w:r>
          </w:p>
        </w:tc>
      </w:tr>
      <w:tr>
        <w:trPr>
          <w:cantSplit/>
        </w:trPr>
        <w:tc>
          <w:tcPr>
            <w:tcW w:type="dxa" w:w="2600"/>
            <w:tcBorders>
              <w:top w:val="single" w:color="B7BDC8" w:sz="4"/>
              <w:left w:val="single" w:color="B7BDC8" w:sz="4"/>
              <w:bottom w:val="single" w:color="B7BDC8" w:sz="4"/>
              <w:right w:val="single" w:color="B7BDC8" w:sz="4"/>
            </w:tcBorders>
            <w:tcMar>
              <w:top w:type="dxa" w:w="70"/>
              <w:left w:type="dxa" w:w="110"/>
              <w:bottom w:type="dxa" w:w="70"/>
              <w:right w:type="dxa" w:w="110"/>
            </w:tcMar>
          </w:tcPr>
          <w:p>
            <w:pPr>
              <w:spacing w:after="0" w:line="252"/>
            </w:pPr>
            <w:r>
              <w:rPr>
                <w:sz w:val="19"/>
                <w:szCs w:val="19"/>
              </w:rPr>
              <w:t xml:space="preserve">Desktop deployment on varied hardware</w:t>
            </w:r>
          </w:p>
        </w:tc>
        <w:tc>
          <w:tcPr>
            <w:tcW w:type="dxa" w:w="2800"/>
            <w:tcBorders>
              <w:top w:val="single" w:color="B7BDC8" w:sz="4"/>
              <w:left w:val="single" w:color="B7BDC8" w:sz="4"/>
              <w:bottom w:val="single" w:color="B7BDC8" w:sz="4"/>
              <w:right w:val="single" w:color="B7BDC8" w:sz="4"/>
            </w:tcBorders>
            <w:tcMar>
              <w:top w:type="dxa" w:w="70"/>
              <w:left w:type="dxa" w:w="110"/>
              <w:bottom w:type="dxa" w:w="70"/>
              <w:right w:type="dxa" w:w="110"/>
            </w:tcMar>
          </w:tcPr>
          <w:p>
            <w:pPr>
              <w:spacing w:after="0" w:line="252"/>
            </w:pPr>
            <w:r>
              <w:rPr>
                <w:sz w:val="19"/>
                <w:szCs w:val="19"/>
              </w:rPr>
              <w:t xml:space="preserve">Blank window without GPU/OpenGL; missing WebView2</w:t>
            </w:r>
          </w:p>
        </w:tc>
        <w:tc>
          <w:tcPr>
            <w:tcW w:type="dxa" w:w="3626"/>
            <w:tcBorders>
              <w:top w:val="single" w:color="B7BDC8" w:sz="4"/>
              <w:left w:val="single" w:color="B7BDC8" w:sz="4"/>
              <w:bottom w:val="single" w:color="B7BDC8" w:sz="4"/>
              <w:right w:val="single" w:color="B7BDC8" w:sz="4"/>
            </w:tcBorders>
            <w:tcMar>
              <w:top w:type="dxa" w:w="70"/>
              <w:left w:type="dxa" w:w="110"/>
              <w:bottom w:type="dxa" w:w="70"/>
              <w:right w:type="dxa" w:w="110"/>
            </w:tcMar>
          </w:tcPr>
          <w:p>
            <w:pPr>
              <w:spacing w:after="0" w:line="252"/>
            </w:pPr>
            <w:r>
              <w:rPr>
                <w:sz w:val="19"/>
                <w:szCs w:val="19"/>
              </w:rPr>
              <w:t xml:space="preserve">OpenGL probe with software-rendering fallback; WebView2 check in installer and at start-up</w:t>
            </w:r>
          </w:p>
        </w:tc>
      </w:tr>
    </w:tbl>
    <w:p>
      <w:pPr>
        <w:spacing w:after="60"/>
      </w:pPr>
    </w:p>
    <w:p>
      <w:pPr>
        <w:pStyle w:val="Heading1"/>
      </w:pPr>
      <w:r>
        <w:t xml:space="preserve">10. Compliance, Standards and SDG Alignment</w:t>
      </w:r>
    </w:p>
    <w:p>
      <w:pPr>
        <w:pStyle w:val="Heading2"/>
      </w:pPr>
      <w:r>
        <w:t xml:space="preserve">10.1 Standards Compliance</w:t>
      </w:r>
    </w:p>
    <w:p>
      <w:pPr>
        <w:pStyle w:val="ListParagraph"/>
        <w:numPr>
          <w:ilvl w:val="0"/>
          <w:numId w:val="2"/>
        </w:numPr>
        <w:spacing w:after="80" w:line="264"/>
        <w:jc w:val="both"/>
      </w:pPr>
      <w:r>
        <w:rPr>
          <w:b/>
          <w:bCs/>
        </w:rPr>
        <w:t xml:space="preserve">IETF: </w:t>
      </w:r>
      <w:r>
        <w:t xml:space="preserve">RFC 7296, 4303, 8221, 8247, 9370, 9395, 7383, 3948, 8019 are encoded directly into the rule base with references in every alert.</w:t>
      </w:r>
    </w:p>
    <w:p>
      <w:pPr>
        <w:pStyle w:val="ListParagraph"/>
        <w:numPr>
          <w:ilvl w:val="0"/>
          <w:numId w:val="2"/>
        </w:numPr>
        <w:spacing w:after="80" w:line="264"/>
        <w:jc w:val="both"/>
      </w:pPr>
      <w:r>
        <w:rPr>
          <w:b/>
          <w:bCs/>
        </w:rPr>
        <w:t xml:space="preserve">NIST: </w:t>
      </w:r>
      <w:r>
        <w:t xml:space="preserve">SP 800-77r1 (IPsec VPN guidance) and SP 800-57 (key strength); ML-KEM per FIPS 203.</w:t>
      </w:r>
    </w:p>
    <w:p>
      <w:pPr>
        <w:pStyle w:val="ListParagraph"/>
        <w:numPr>
          <w:ilvl w:val="0"/>
          <w:numId w:val="2"/>
        </w:numPr>
        <w:spacing w:after="80" w:line="264"/>
        <w:jc w:val="both"/>
      </w:pPr>
      <w:r>
        <w:rPr>
          <w:b/>
          <w:bCs/>
        </w:rPr>
        <w:t xml:space="preserve">Indian guidelines: </w:t>
      </w:r>
      <w:r>
        <w:t xml:space="preserve">supports CERT-In audit requirements and NCIIPC protection practice for critical information infrastructure by producing evidence-based, exportable audit records.</w:t>
      </w:r>
    </w:p>
    <w:p>
      <w:pPr>
        <w:pStyle w:val="ListParagraph"/>
        <w:numPr>
          <w:ilvl w:val="0"/>
          <w:numId w:val="2"/>
        </w:numPr>
        <w:spacing w:after="80" w:line="264"/>
        <w:jc w:val="both"/>
      </w:pPr>
      <w:r>
        <w:rPr>
          <w:b/>
          <w:bCs/>
        </w:rPr>
        <w:t xml:space="preserve">Privacy: </w:t>
      </w:r>
      <w:r>
        <w:t xml:space="preserve">passive by design; live captures keep only the first 64 bytes of ESP payload with the true length, and all data stays on the analyst's machine.</w:t>
      </w:r>
    </w:p>
    <w:p>
      <w:pPr>
        <w:pStyle w:val="Heading2"/>
      </w:pPr>
      <w:r>
        <w:t xml:space="preserve">10.2 SDG Alignment</w:t>
      </w:r>
    </w:p>
    <w:p>
      <w:pPr>
        <w:pStyle w:val="ListParagraph"/>
        <w:numPr>
          <w:ilvl w:val="0"/>
          <w:numId w:val="2"/>
        </w:numPr>
        <w:spacing w:after="80" w:line="264"/>
        <w:jc w:val="both"/>
      </w:pPr>
      <w:r>
        <w:rPr>
          <w:b/>
          <w:bCs/>
        </w:rPr>
        <w:t xml:space="preserve">SDG 9: Industry, Innovation and Infrastructure: </w:t>
      </w:r>
      <w:r>
        <w:t xml:space="preserve">secures the communication backbone of digital and critical infrastructure.</w:t>
      </w:r>
    </w:p>
    <w:p>
      <w:pPr>
        <w:pStyle w:val="ListParagraph"/>
        <w:numPr>
          <w:ilvl w:val="0"/>
          <w:numId w:val="2"/>
        </w:numPr>
        <w:spacing w:after="80" w:line="264"/>
        <w:jc w:val="both"/>
      </w:pPr>
      <w:r>
        <w:rPr>
          <w:b/>
          <w:bCs/>
        </w:rPr>
        <w:t xml:space="preserve">SDG 16: Peace, Justice and Strong Institutions: </w:t>
      </w:r>
      <w:r>
        <w:t xml:space="preserve">strengthens the cyber resilience of government institutions and national security agencies.</w:t>
      </w:r>
    </w:p>
    <w:p>
      <w:pPr>
        <w:pStyle w:val="ListParagraph"/>
        <w:numPr>
          <w:ilvl w:val="0"/>
          <w:numId w:val="2"/>
        </w:numPr>
        <w:spacing w:after="80" w:line="264"/>
        <w:jc w:val="both"/>
      </w:pPr>
      <w:r>
        <w:rPr>
          <w:b/>
          <w:bCs/>
        </w:rPr>
        <w:t xml:space="preserve">SDG 4: Quality Education: </w:t>
      </w:r>
      <w:r>
        <w:t xml:space="preserve">the testbed and explainable outputs support cybersecurity training.</w:t>
      </w:r>
    </w:p>
    <w:p>
      <w:pPr>
        <w:pStyle w:val="Heading1"/>
      </w:pPr>
      <w:r>
        <w:t xml:space="preserve">11. References &amp; Comparison</w:t>
      </w:r>
    </w:p>
    <w:p>
      <w:pPr>
        <w:pStyle w:val="Heading2"/>
      </w:pPr>
      <w:r>
        <w:t xml:space="preserve">11.1 Comparison with Conventional Approaches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363"/>
        <w:gridCol w:w="3363"/>
      </w:tblGrid>
      <w:tr>
        <w:trPr>
          <w:tblHeader/>
        </w:trPr>
        <w:tc>
          <w:tcPr>
            <w:tcW w:type="dxa" w:w="2300"/>
            <w:tcBorders>
              <w:top w:val="single" w:color="B7BDC8" w:sz="4"/>
              <w:left w:val="single" w:color="B7BDC8" w:sz="4"/>
              <w:bottom w:val="single" w:color="B7BDC8" w:sz="4"/>
              <w:right w:val="single" w:color="B7BDC8" w:sz="4"/>
            </w:tcBorders>
            <w:shd w:fill="DCE3EE" w:color="auto" w:val="clear"/>
            <w:tcMar>
              <w:top w:type="dxa" w:w="70"/>
              <w:left w:type="dxa" w:w="110"/>
              <w:bottom w:type="dxa" w:w="70"/>
              <w:right w:type="dxa" w:w="110"/>
            </w:tcMar>
          </w:tcPr>
          <w:p>
            <w:pPr>
              <w:spacing w:after="0" w:line="252"/>
            </w:pPr>
            <w:r>
              <w:rPr>
                <w:b/>
                <w:bCs/>
                <w:sz w:val="19"/>
                <w:szCs w:val="19"/>
              </w:rPr>
              <w:t xml:space="preserve">Capability</w:t>
            </w:r>
          </w:p>
        </w:tc>
        <w:tc>
          <w:tcPr>
            <w:tcW w:type="dxa" w:w="3363"/>
            <w:tcBorders>
              <w:top w:val="single" w:color="B7BDC8" w:sz="4"/>
              <w:left w:val="single" w:color="B7BDC8" w:sz="4"/>
              <w:bottom w:val="single" w:color="B7BDC8" w:sz="4"/>
              <w:right w:val="single" w:color="B7BDC8" w:sz="4"/>
            </w:tcBorders>
            <w:shd w:fill="DCE3EE" w:color="auto" w:val="clear"/>
            <w:tcMar>
              <w:top w:type="dxa" w:w="70"/>
              <w:left w:type="dxa" w:w="110"/>
              <w:bottom w:type="dxa" w:w="70"/>
              <w:right w:type="dxa" w:w="110"/>
            </w:tcMar>
          </w:tcPr>
          <w:p>
            <w:pPr>
              <w:spacing w:after="0" w:line="252"/>
            </w:pPr>
            <w:r>
              <w:rPr>
                <w:b/>
                <w:bCs/>
                <w:sz w:val="19"/>
                <w:szCs w:val="19"/>
              </w:rPr>
              <w:t xml:space="preserve">Conventional (Wireshark / manual config audit)</w:t>
            </w:r>
          </w:p>
        </w:tc>
        <w:tc>
          <w:tcPr>
            <w:tcW w:type="dxa" w:w="3363"/>
            <w:tcBorders>
              <w:top w:val="single" w:color="B7BDC8" w:sz="4"/>
              <w:left w:val="single" w:color="B7BDC8" w:sz="4"/>
              <w:bottom w:val="single" w:color="B7BDC8" w:sz="4"/>
              <w:right w:val="single" w:color="B7BDC8" w:sz="4"/>
            </w:tcBorders>
            <w:shd w:fill="DCE3EE" w:color="auto" w:val="clear"/>
            <w:tcMar>
              <w:top w:type="dxa" w:w="70"/>
              <w:left w:type="dxa" w:w="110"/>
              <w:bottom w:type="dxa" w:w="70"/>
              <w:right w:type="dxa" w:w="110"/>
            </w:tcMar>
          </w:tcPr>
          <w:p>
            <w:pPr>
              <w:spacing w:after="0" w:line="252"/>
            </w:pPr>
            <w:r>
              <w:rPr>
                <w:b/>
                <w:bCs/>
                <w:sz w:val="19"/>
                <w:szCs w:val="19"/>
              </w:rPr>
              <w:t xml:space="preserve">NUNMATHI</w:t>
            </w:r>
          </w:p>
        </w:tc>
      </w:tr>
      <w:tr>
        <w:trPr>
          <w:cantSplit/>
        </w:trPr>
        <w:tc>
          <w:tcPr>
            <w:tcW w:type="dxa" w:w="2300"/>
            <w:tcBorders>
              <w:top w:val="single" w:color="B7BDC8" w:sz="4"/>
              <w:left w:val="single" w:color="B7BDC8" w:sz="4"/>
              <w:bottom w:val="single" w:color="B7BDC8" w:sz="4"/>
              <w:right w:val="single" w:color="B7BDC8" w:sz="4"/>
            </w:tcBorders>
            <w:tcMar>
              <w:top w:type="dxa" w:w="70"/>
              <w:left w:type="dxa" w:w="110"/>
              <w:bottom w:type="dxa" w:w="70"/>
              <w:right w:type="dxa" w:w="110"/>
            </w:tcMar>
          </w:tcPr>
          <w:p>
            <w:pPr>
              <w:spacing w:after="0" w:line="252"/>
            </w:pPr>
            <w:r>
              <w:rPr>
                <w:sz w:val="19"/>
                <w:szCs w:val="19"/>
              </w:rPr>
              <w:t xml:space="preserve">Access needed</w:t>
            </w:r>
          </w:p>
        </w:tc>
        <w:tc>
          <w:tcPr>
            <w:tcW w:type="dxa" w:w="3363"/>
            <w:tcBorders>
              <w:top w:val="single" w:color="B7BDC8" w:sz="4"/>
              <w:left w:val="single" w:color="B7BDC8" w:sz="4"/>
              <w:bottom w:val="single" w:color="B7BDC8" w:sz="4"/>
              <w:right w:val="single" w:color="B7BDC8" w:sz="4"/>
            </w:tcBorders>
            <w:tcMar>
              <w:top w:type="dxa" w:w="70"/>
              <w:left w:type="dxa" w:w="110"/>
              <w:bottom w:type="dxa" w:w="70"/>
              <w:right w:type="dxa" w:w="110"/>
            </w:tcMar>
          </w:tcPr>
          <w:p>
            <w:pPr>
              <w:spacing w:after="0" w:line="252"/>
            </w:pPr>
            <w:r>
              <w:rPr>
                <w:sz w:val="19"/>
                <w:szCs w:val="19"/>
              </w:rPr>
              <w:t xml:space="preserve">Packet capture plus gateway configs or credentials</w:t>
            </w:r>
          </w:p>
        </w:tc>
        <w:tc>
          <w:tcPr>
            <w:tcW w:type="dxa" w:w="3363"/>
            <w:tcBorders>
              <w:top w:val="single" w:color="B7BDC8" w:sz="4"/>
              <w:left w:val="single" w:color="B7BDC8" w:sz="4"/>
              <w:bottom w:val="single" w:color="B7BDC8" w:sz="4"/>
              <w:right w:val="single" w:color="B7BDC8" w:sz="4"/>
            </w:tcBorders>
            <w:tcMar>
              <w:top w:type="dxa" w:w="70"/>
              <w:left w:type="dxa" w:w="110"/>
              <w:bottom w:type="dxa" w:w="70"/>
              <w:right w:type="dxa" w:w="110"/>
            </w:tcMar>
          </w:tcPr>
          <w:p>
            <w:pPr>
              <w:spacing w:after="0" w:line="252"/>
            </w:pPr>
            <w:r>
              <w:rPr>
                <w:sz w:val="19"/>
                <w:szCs w:val="19"/>
              </w:rPr>
              <w:t xml:space="preserve">Packet capture only</w:t>
            </w:r>
          </w:p>
        </w:tc>
      </w:tr>
      <w:tr>
        <w:trPr>
          <w:cantSplit/>
        </w:trPr>
        <w:tc>
          <w:tcPr>
            <w:tcW w:type="dxa" w:w="2300"/>
            <w:tcBorders>
              <w:top w:val="single" w:color="B7BDC8" w:sz="4"/>
              <w:left w:val="single" w:color="B7BDC8" w:sz="4"/>
              <w:bottom w:val="single" w:color="B7BDC8" w:sz="4"/>
              <w:right w:val="single" w:color="B7BDC8" w:sz="4"/>
            </w:tcBorders>
            <w:tcMar>
              <w:top w:type="dxa" w:w="70"/>
              <w:left w:type="dxa" w:w="110"/>
              <w:bottom w:type="dxa" w:w="70"/>
              <w:right w:type="dxa" w:w="110"/>
            </w:tcMar>
          </w:tcPr>
          <w:p>
            <w:pPr>
              <w:spacing w:after="0" w:line="252"/>
            </w:pPr>
            <w:r>
              <w:rPr>
                <w:sz w:val="19"/>
                <w:szCs w:val="19"/>
              </w:rPr>
              <w:t xml:space="preserve">ESP algorithm without keys</w:t>
            </w:r>
          </w:p>
        </w:tc>
        <w:tc>
          <w:tcPr>
            <w:tcW w:type="dxa" w:w="3363"/>
            <w:tcBorders>
              <w:top w:val="single" w:color="B7BDC8" w:sz="4"/>
              <w:left w:val="single" w:color="B7BDC8" w:sz="4"/>
              <w:bottom w:val="single" w:color="B7BDC8" w:sz="4"/>
              <w:right w:val="single" w:color="B7BDC8" w:sz="4"/>
            </w:tcBorders>
            <w:tcMar>
              <w:top w:type="dxa" w:w="70"/>
              <w:left w:type="dxa" w:w="110"/>
              <w:bottom w:type="dxa" w:w="70"/>
              <w:right w:type="dxa" w:w="110"/>
            </w:tcMar>
          </w:tcPr>
          <w:p>
            <w:pPr>
              <w:spacing w:after="0" w:line="252"/>
            </w:pPr>
            <w:r>
              <w:rPr>
                <w:sz w:val="19"/>
                <w:szCs w:val="19"/>
              </w:rPr>
              <w:t xml:space="preserve">Not possible</w:t>
            </w:r>
          </w:p>
        </w:tc>
        <w:tc>
          <w:tcPr>
            <w:tcW w:type="dxa" w:w="3363"/>
            <w:tcBorders>
              <w:top w:val="single" w:color="B7BDC8" w:sz="4"/>
              <w:left w:val="single" w:color="B7BDC8" w:sz="4"/>
              <w:bottom w:val="single" w:color="B7BDC8" w:sz="4"/>
              <w:right w:val="single" w:color="B7BDC8" w:sz="4"/>
            </w:tcBorders>
            <w:tcMar>
              <w:top w:type="dxa" w:w="70"/>
              <w:left w:type="dxa" w:w="110"/>
              <w:bottom w:type="dxa" w:w="70"/>
              <w:right w:type="dxa" w:w="110"/>
            </w:tcMar>
          </w:tcPr>
          <w:p>
            <w:pPr>
              <w:spacing w:after="0" w:line="252"/>
            </w:pPr>
            <w:r>
              <w:rPr>
                <w:sz w:val="19"/>
                <w:szCs w:val="19"/>
              </w:rPr>
              <w:t xml:space="preserve">Inferred from length geometry with proof</w:t>
            </w:r>
          </w:p>
        </w:tc>
      </w:tr>
      <w:tr>
        <w:trPr>
          <w:cantSplit/>
        </w:trPr>
        <w:tc>
          <w:tcPr>
            <w:tcW w:type="dxa" w:w="2300"/>
            <w:tcBorders>
              <w:top w:val="single" w:color="B7BDC8" w:sz="4"/>
              <w:left w:val="single" w:color="B7BDC8" w:sz="4"/>
              <w:bottom w:val="single" w:color="B7BDC8" w:sz="4"/>
              <w:right w:val="single" w:color="B7BDC8" w:sz="4"/>
            </w:tcBorders>
            <w:tcMar>
              <w:top w:type="dxa" w:w="70"/>
              <w:left w:type="dxa" w:w="110"/>
              <w:bottom w:type="dxa" w:w="70"/>
              <w:right w:type="dxa" w:w="110"/>
            </w:tcMar>
          </w:tcPr>
          <w:p>
            <w:pPr>
              <w:spacing w:after="0" w:line="252"/>
            </w:pPr>
            <w:r>
              <w:rPr>
                <w:sz w:val="19"/>
                <w:szCs w:val="19"/>
              </w:rPr>
              <w:t xml:space="preserve">PFS and SA lifetimes</w:t>
            </w:r>
          </w:p>
        </w:tc>
        <w:tc>
          <w:tcPr>
            <w:tcW w:type="dxa" w:w="3363"/>
            <w:tcBorders>
              <w:top w:val="single" w:color="B7BDC8" w:sz="4"/>
              <w:left w:val="single" w:color="B7BDC8" w:sz="4"/>
              <w:bottom w:val="single" w:color="B7BDC8" w:sz="4"/>
              <w:right w:val="single" w:color="B7BDC8" w:sz="4"/>
            </w:tcBorders>
            <w:tcMar>
              <w:top w:type="dxa" w:w="70"/>
              <w:left w:type="dxa" w:w="110"/>
              <w:bottom w:type="dxa" w:w="70"/>
              <w:right w:type="dxa" w:w="110"/>
            </w:tcMar>
          </w:tcPr>
          <w:p>
            <w:pPr>
              <w:spacing w:after="0" w:line="252"/>
            </w:pPr>
            <w:r>
              <w:rPr>
                <w:sz w:val="19"/>
                <w:szCs w:val="19"/>
              </w:rPr>
              <w:t xml:space="preserve">Manual reading of configs</w:t>
            </w:r>
          </w:p>
        </w:tc>
        <w:tc>
          <w:tcPr>
            <w:tcW w:type="dxa" w:w="3363"/>
            <w:tcBorders>
              <w:top w:val="single" w:color="B7BDC8" w:sz="4"/>
              <w:left w:val="single" w:color="B7BDC8" w:sz="4"/>
              <w:bottom w:val="single" w:color="B7BDC8" w:sz="4"/>
              <w:right w:val="single" w:color="B7BDC8" w:sz="4"/>
            </w:tcBorders>
            <w:tcMar>
              <w:top w:type="dxa" w:w="70"/>
              <w:left w:type="dxa" w:w="110"/>
              <w:bottom w:type="dxa" w:w="70"/>
              <w:right w:type="dxa" w:w="110"/>
            </w:tcMar>
          </w:tcPr>
          <w:p>
            <w:pPr>
              <w:spacing w:after="0" w:line="252"/>
            </w:pPr>
            <w:r>
              <w:rPr>
                <w:sz w:val="19"/>
                <w:szCs w:val="19"/>
              </w:rPr>
              <w:t xml:space="preserve">Inferred from rekeys automatically</w:t>
            </w:r>
          </w:p>
        </w:tc>
      </w:tr>
      <w:tr>
        <w:trPr>
          <w:cantSplit/>
        </w:trPr>
        <w:tc>
          <w:tcPr>
            <w:tcW w:type="dxa" w:w="2300"/>
            <w:tcBorders>
              <w:top w:val="single" w:color="B7BDC8" w:sz="4"/>
              <w:left w:val="single" w:color="B7BDC8" w:sz="4"/>
              <w:bottom w:val="single" w:color="B7BDC8" w:sz="4"/>
              <w:right w:val="single" w:color="B7BDC8" w:sz="4"/>
            </w:tcBorders>
            <w:tcMar>
              <w:top w:type="dxa" w:w="70"/>
              <w:left w:type="dxa" w:w="110"/>
              <w:bottom w:type="dxa" w:w="70"/>
              <w:right w:type="dxa" w:w="110"/>
            </w:tcMar>
          </w:tcPr>
          <w:p>
            <w:pPr>
              <w:spacing w:after="0" w:line="252"/>
            </w:pPr>
            <w:r>
              <w:rPr>
                <w:sz w:val="19"/>
                <w:szCs w:val="19"/>
              </w:rPr>
              <w:t xml:space="preserve">Security verdict</w:t>
            </w:r>
          </w:p>
        </w:tc>
        <w:tc>
          <w:tcPr>
            <w:tcW w:type="dxa" w:w="3363"/>
            <w:tcBorders>
              <w:top w:val="single" w:color="B7BDC8" w:sz="4"/>
              <w:left w:val="single" w:color="B7BDC8" w:sz="4"/>
              <w:bottom w:val="single" w:color="B7BDC8" w:sz="4"/>
              <w:right w:val="single" w:color="B7BDC8" w:sz="4"/>
            </w:tcBorders>
            <w:tcMar>
              <w:top w:type="dxa" w:w="70"/>
              <w:left w:type="dxa" w:w="110"/>
              <w:bottom w:type="dxa" w:w="70"/>
              <w:right w:type="dxa" w:w="110"/>
            </w:tcMar>
          </w:tcPr>
          <w:p>
            <w:pPr>
              <w:spacing w:after="0" w:line="252"/>
            </w:pPr>
            <w:r>
              <w:rPr>
                <w:sz w:val="19"/>
                <w:szCs w:val="19"/>
              </w:rPr>
              <w:t xml:space="preserve">Analyst judgement</w:t>
            </w:r>
          </w:p>
        </w:tc>
        <w:tc>
          <w:tcPr>
            <w:tcW w:type="dxa" w:w="3363"/>
            <w:tcBorders>
              <w:top w:val="single" w:color="B7BDC8" w:sz="4"/>
              <w:left w:val="single" w:color="B7BDC8" w:sz="4"/>
              <w:bottom w:val="single" w:color="B7BDC8" w:sz="4"/>
              <w:right w:val="single" w:color="B7BDC8" w:sz="4"/>
            </w:tcBorders>
            <w:tcMar>
              <w:top w:type="dxa" w:w="70"/>
              <w:left w:type="dxa" w:w="110"/>
              <w:bottom w:type="dxa" w:w="70"/>
              <w:right w:type="dxa" w:w="110"/>
            </w:tcMar>
          </w:tcPr>
          <w:p>
            <w:pPr>
              <w:spacing w:after="0" w:line="252"/>
            </w:pPr>
            <w:r>
              <w:rPr>
                <w:sz w:val="19"/>
                <w:szCs w:val="19"/>
              </w:rPr>
              <w:t xml:space="preserve">21 rules, score and A+…F grade with references</w:t>
            </w:r>
          </w:p>
        </w:tc>
      </w:tr>
      <w:tr>
        <w:trPr>
          <w:cantSplit/>
        </w:trPr>
        <w:tc>
          <w:tcPr>
            <w:tcW w:type="dxa" w:w="2300"/>
            <w:tcBorders>
              <w:top w:val="single" w:color="B7BDC8" w:sz="4"/>
              <w:left w:val="single" w:color="B7BDC8" w:sz="4"/>
              <w:bottom w:val="single" w:color="B7BDC8" w:sz="4"/>
              <w:right w:val="single" w:color="B7BDC8" w:sz="4"/>
            </w:tcBorders>
            <w:tcMar>
              <w:top w:type="dxa" w:w="70"/>
              <w:left w:type="dxa" w:w="110"/>
              <w:bottom w:type="dxa" w:w="70"/>
              <w:right w:type="dxa" w:w="110"/>
            </w:tcMar>
          </w:tcPr>
          <w:p>
            <w:pPr>
              <w:spacing w:after="0" w:line="252"/>
            </w:pPr>
            <w:r>
              <w:rPr>
                <w:sz w:val="19"/>
                <w:szCs w:val="19"/>
              </w:rPr>
              <w:t xml:space="preserve">Encrypted traffic insight</w:t>
            </w:r>
          </w:p>
        </w:tc>
        <w:tc>
          <w:tcPr>
            <w:tcW w:type="dxa" w:w="3363"/>
            <w:tcBorders>
              <w:top w:val="single" w:color="B7BDC8" w:sz="4"/>
              <w:left w:val="single" w:color="B7BDC8" w:sz="4"/>
              <w:bottom w:val="single" w:color="B7BDC8" w:sz="4"/>
              <w:right w:val="single" w:color="B7BDC8" w:sz="4"/>
            </w:tcBorders>
            <w:tcMar>
              <w:top w:type="dxa" w:w="70"/>
              <w:left w:type="dxa" w:w="110"/>
              <w:bottom w:type="dxa" w:w="70"/>
              <w:right w:type="dxa" w:w="110"/>
            </w:tcMar>
          </w:tcPr>
          <w:p>
            <w:pPr>
              <w:spacing w:after="0" w:line="252"/>
            </w:pPr>
            <w:r>
              <w:rPr>
                <w:sz w:val="19"/>
                <w:szCs w:val="19"/>
              </w:rPr>
              <w:t xml:space="preserve">None</w:t>
            </w:r>
          </w:p>
        </w:tc>
        <w:tc>
          <w:tcPr>
            <w:tcW w:type="dxa" w:w="3363"/>
            <w:tcBorders>
              <w:top w:val="single" w:color="B7BDC8" w:sz="4"/>
              <w:left w:val="single" w:color="B7BDC8" w:sz="4"/>
              <w:bottom w:val="single" w:color="B7BDC8" w:sz="4"/>
              <w:right w:val="single" w:color="B7BDC8" w:sz="4"/>
            </w:tcBorders>
            <w:tcMar>
              <w:top w:type="dxa" w:w="70"/>
              <w:left w:type="dxa" w:w="110"/>
              <w:bottom w:type="dxa" w:w="70"/>
              <w:right w:type="dxa" w:w="110"/>
            </w:tcMar>
          </w:tcPr>
          <w:p>
            <w:pPr>
              <w:spacing w:after="0" w:line="252"/>
            </w:pPr>
            <w:r>
              <w:rPr>
                <w:sz w:val="19"/>
                <w:szCs w:val="19"/>
              </w:rPr>
              <w:t xml:space="preserve">AI classification, conformal sets, MEI</w:t>
            </w:r>
          </w:p>
        </w:tc>
      </w:tr>
      <w:tr>
        <w:trPr>
          <w:cantSplit/>
        </w:trPr>
        <w:tc>
          <w:tcPr>
            <w:tcW w:type="dxa" w:w="2300"/>
            <w:tcBorders>
              <w:top w:val="single" w:color="B7BDC8" w:sz="4"/>
              <w:left w:val="single" w:color="B7BDC8" w:sz="4"/>
              <w:bottom w:val="single" w:color="B7BDC8" w:sz="4"/>
              <w:right w:val="single" w:color="B7BDC8" w:sz="4"/>
            </w:tcBorders>
            <w:tcMar>
              <w:top w:type="dxa" w:w="70"/>
              <w:left w:type="dxa" w:w="110"/>
              <w:bottom w:type="dxa" w:w="70"/>
              <w:right w:type="dxa" w:w="110"/>
            </w:tcMar>
          </w:tcPr>
          <w:p>
            <w:pPr>
              <w:spacing w:after="0" w:line="252"/>
            </w:pPr>
            <w:r>
              <w:rPr>
                <w:sz w:val="19"/>
                <w:szCs w:val="19"/>
              </w:rPr>
              <w:t xml:space="preserve">Post-quantum readiness</w:t>
            </w:r>
          </w:p>
        </w:tc>
        <w:tc>
          <w:tcPr>
            <w:tcW w:type="dxa" w:w="3363"/>
            <w:tcBorders>
              <w:top w:val="single" w:color="B7BDC8" w:sz="4"/>
              <w:left w:val="single" w:color="B7BDC8" w:sz="4"/>
              <w:bottom w:val="single" w:color="B7BDC8" w:sz="4"/>
              <w:right w:val="single" w:color="B7BDC8" w:sz="4"/>
            </w:tcBorders>
            <w:tcMar>
              <w:top w:type="dxa" w:w="70"/>
              <w:left w:type="dxa" w:w="110"/>
              <w:bottom w:type="dxa" w:w="70"/>
              <w:right w:type="dxa" w:w="110"/>
            </w:tcMar>
          </w:tcPr>
          <w:p>
            <w:pPr>
              <w:spacing w:after="0" w:line="252"/>
            </w:pPr>
            <w:r>
              <w:rPr>
                <w:sz w:val="19"/>
                <w:szCs w:val="19"/>
              </w:rPr>
              <w:t xml:space="preserve">Manual</w:t>
            </w:r>
          </w:p>
        </w:tc>
        <w:tc>
          <w:tcPr>
            <w:tcW w:type="dxa" w:w="3363"/>
            <w:tcBorders>
              <w:top w:val="single" w:color="B7BDC8" w:sz="4"/>
              <w:left w:val="single" w:color="B7BDC8" w:sz="4"/>
              <w:bottom w:val="single" w:color="B7BDC8" w:sz="4"/>
              <w:right w:val="single" w:color="B7BDC8" w:sz="4"/>
            </w:tcBorders>
            <w:tcMar>
              <w:top w:type="dxa" w:w="70"/>
              <w:left w:type="dxa" w:w="110"/>
              <w:bottom w:type="dxa" w:w="70"/>
              <w:right w:type="dxa" w:w="110"/>
            </w:tcMar>
          </w:tcPr>
          <w:p>
            <w:pPr>
              <w:spacing w:after="0" w:line="252"/>
            </w:pPr>
            <w:r>
              <w:rPr>
                <w:sz w:val="19"/>
                <w:szCs w:val="19"/>
              </w:rPr>
              <w:t xml:space="preserve">RFC 9370 / ML-KEM detection</w:t>
            </w:r>
          </w:p>
        </w:tc>
      </w:tr>
      <w:tr>
        <w:trPr>
          <w:cantSplit/>
        </w:trPr>
        <w:tc>
          <w:tcPr>
            <w:tcW w:type="dxa" w:w="2300"/>
            <w:tcBorders>
              <w:top w:val="single" w:color="B7BDC8" w:sz="4"/>
              <w:left w:val="single" w:color="B7BDC8" w:sz="4"/>
              <w:bottom w:val="single" w:color="B7BDC8" w:sz="4"/>
              <w:right w:val="single" w:color="B7BDC8" w:sz="4"/>
            </w:tcBorders>
            <w:tcMar>
              <w:top w:type="dxa" w:w="70"/>
              <w:left w:type="dxa" w:w="110"/>
              <w:bottom w:type="dxa" w:w="70"/>
              <w:right w:type="dxa" w:w="110"/>
            </w:tcMar>
          </w:tcPr>
          <w:p>
            <w:pPr>
              <w:spacing w:after="0" w:line="252"/>
            </w:pPr>
            <w:r>
              <w:rPr>
                <w:sz w:val="19"/>
                <w:szCs w:val="19"/>
              </w:rPr>
              <w:t xml:space="preserve">Remediation</w:t>
            </w:r>
          </w:p>
        </w:tc>
        <w:tc>
          <w:tcPr>
            <w:tcW w:type="dxa" w:w="3363"/>
            <w:tcBorders>
              <w:top w:val="single" w:color="B7BDC8" w:sz="4"/>
              <w:left w:val="single" w:color="B7BDC8" w:sz="4"/>
              <w:bottom w:val="single" w:color="B7BDC8" w:sz="4"/>
              <w:right w:val="single" w:color="B7BDC8" w:sz="4"/>
            </w:tcBorders>
            <w:tcMar>
              <w:top w:type="dxa" w:w="70"/>
              <w:left w:type="dxa" w:w="110"/>
              <w:bottom w:type="dxa" w:w="70"/>
              <w:right w:type="dxa" w:w="110"/>
            </w:tcMar>
          </w:tcPr>
          <w:p>
            <w:pPr>
              <w:spacing w:after="0" w:line="252"/>
            </w:pPr>
            <w:r>
              <w:rPr>
                <w:sz w:val="19"/>
                <w:szCs w:val="19"/>
              </w:rPr>
              <w:t xml:space="preserve">Written by hand</w:t>
            </w:r>
          </w:p>
        </w:tc>
        <w:tc>
          <w:tcPr>
            <w:tcW w:type="dxa" w:w="3363"/>
            <w:tcBorders>
              <w:top w:val="single" w:color="B7BDC8" w:sz="4"/>
              <w:left w:val="single" w:color="B7BDC8" w:sz="4"/>
              <w:bottom w:val="single" w:color="B7BDC8" w:sz="4"/>
              <w:right w:val="single" w:color="B7BDC8" w:sz="4"/>
            </w:tcBorders>
            <w:tcMar>
              <w:top w:type="dxa" w:w="70"/>
              <w:left w:type="dxa" w:w="110"/>
              <w:bottom w:type="dxa" w:w="70"/>
              <w:right w:type="dxa" w:w="110"/>
            </w:tcMar>
          </w:tcPr>
          <w:p>
            <w:pPr>
              <w:spacing w:after="0" w:line="252"/>
            </w:pPr>
            <w:r>
              <w:rPr>
                <w:sz w:val="19"/>
                <w:szCs w:val="19"/>
              </w:rPr>
              <w:t xml:space="preserve">What-If twin with strongSwan / libreswan / Cisco configs</w:t>
            </w:r>
          </w:p>
        </w:tc>
      </w:tr>
      <w:tr>
        <w:trPr>
          <w:cantSplit/>
        </w:trPr>
        <w:tc>
          <w:tcPr>
            <w:tcW w:type="dxa" w:w="2300"/>
            <w:tcBorders>
              <w:top w:val="single" w:color="B7BDC8" w:sz="4"/>
              <w:left w:val="single" w:color="B7BDC8" w:sz="4"/>
              <w:bottom w:val="single" w:color="B7BDC8" w:sz="4"/>
              <w:right w:val="single" w:color="B7BDC8" w:sz="4"/>
            </w:tcBorders>
            <w:tcMar>
              <w:top w:type="dxa" w:w="70"/>
              <w:left w:type="dxa" w:w="110"/>
              <w:bottom w:type="dxa" w:w="70"/>
              <w:right w:type="dxa" w:w="110"/>
            </w:tcMar>
          </w:tcPr>
          <w:p>
            <w:pPr>
              <w:spacing w:after="0" w:line="252"/>
            </w:pPr>
            <w:r>
              <w:rPr>
                <w:sz w:val="19"/>
                <w:szCs w:val="19"/>
              </w:rPr>
              <w:t xml:space="preserve">Reporting and SOC integration</w:t>
            </w:r>
          </w:p>
        </w:tc>
        <w:tc>
          <w:tcPr>
            <w:tcW w:type="dxa" w:w="3363"/>
            <w:tcBorders>
              <w:top w:val="single" w:color="B7BDC8" w:sz="4"/>
              <w:left w:val="single" w:color="B7BDC8" w:sz="4"/>
              <w:bottom w:val="single" w:color="B7BDC8" w:sz="4"/>
              <w:right w:val="single" w:color="B7BDC8" w:sz="4"/>
            </w:tcBorders>
            <w:tcMar>
              <w:top w:type="dxa" w:w="70"/>
              <w:left w:type="dxa" w:w="110"/>
              <w:bottom w:type="dxa" w:w="70"/>
              <w:right w:type="dxa" w:w="110"/>
            </w:tcMar>
          </w:tcPr>
          <w:p>
            <w:pPr>
              <w:spacing w:after="0" w:line="252"/>
            </w:pPr>
            <w:r>
              <w:rPr>
                <w:sz w:val="19"/>
                <w:szCs w:val="19"/>
              </w:rPr>
              <w:t xml:space="preserve">Screenshots and notes</w:t>
            </w:r>
          </w:p>
        </w:tc>
        <w:tc>
          <w:tcPr>
            <w:tcW w:type="dxa" w:w="3363"/>
            <w:tcBorders>
              <w:top w:val="single" w:color="B7BDC8" w:sz="4"/>
              <w:left w:val="single" w:color="B7BDC8" w:sz="4"/>
              <w:bottom w:val="single" w:color="B7BDC8" w:sz="4"/>
              <w:right w:val="single" w:color="B7BDC8" w:sz="4"/>
            </w:tcBorders>
            <w:tcMar>
              <w:top w:type="dxa" w:w="70"/>
              <w:left w:type="dxa" w:w="110"/>
              <w:bottom w:type="dxa" w:w="70"/>
              <w:right w:type="dxa" w:w="110"/>
            </w:tcMar>
          </w:tcPr>
          <w:p>
            <w:pPr>
              <w:spacing w:after="0" w:line="252"/>
            </w:pPr>
            <w:r>
              <w:rPr>
                <w:sz w:val="19"/>
                <w:szCs w:val="19"/>
              </w:rPr>
              <w:t xml:space="preserve">Executive and Technical PDF, HTML, versioned JSON</w:t>
            </w:r>
          </w:p>
        </w:tc>
      </w:tr>
      <w:tr>
        <w:trPr>
          <w:cantSplit/>
        </w:trPr>
        <w:tc>
          <w:tcPr>
            <w:tcW w:type="dxa" w:w="2300"/>
            <w:tcBorders>
              <w:top w:val="single" w:color="B7BDC8" w:sz="4"/>
              <w:left w:val="single" w:color="B7BDC8" w:sz="4"/>
              <w:bottom w:val="single" w:color="B7BDC8" w:sz="4"/>
              <w:right w:val="single" w:color="B7BDC8" w:sz="4"/>
            </w:tcBorders>
            <w:tcMar>
              <w:top w:type="dxa" w:w="70"/>
              <w:left w:type="dxa" w:w="110"/>
              <w:bottom w:type="dxa" w:w="70"/>
              <w:right w:type="dxa" w:w="110"/>
            </w:tcMar>
          </w:tcPr>
          <w:p>
            <w:pPr>
              <w:spacing w:after="0" w:line="252"/>
            </w:pPr>
            <w:r>
              <w:rPr>
                <w:sz w:val="19"/>
                <w:szCs w:val="19"/>
              </w:rPr>
              <w:t xml:space="preserve">Time for a 90-minute capture</w:t>
            </w:r>
          </w:p>
        </w:tc>
        <w:tc>
          <w:tcPr>
            <w:tcW w:type="dxa" w:w="3363"/>
            <w:tcBorders>
              <w:top w:val="single" w:color="B7BDC8" w:sz="4"/>
              <w:left w:val="single" w:color="B7BDC8" w:sz="4"/>
              <w:bottom w:val="single" w:color="B7BDC8" w:sz="4"/>
              <w:right w:val="single" w:color="B7BDC8" w:sz="4"/>
            </w:tcBorders>
            <w:tcMar>
              <w:top w:type="dxa" w:w="70"/>
              <w:left w:type="dxa" w:w="110"/>
              <w:bottom w:type="dxa" w:w="70"/>
              <w:right w:type="dxa" w:w="110"/>
            </w:tcMar>
          </w:tcPr>
          <w:p>
            <w:pPr>
              <w:spacing w:after="0" w:line="252"/>
            </w:pPr>
            <w:r>
              <w:rPr>
                <w:sz w:val="19"/>
                <w:szCs w:val="19"/>
              </w:rPr>
              <w:t xml:space="preserve">Hours</w:t>
            </w:r>
          </w:p>
        </w:tc>
        <w:tc>
          <w:tcPr>
            <w:tcW w:type="dxa" w:w="3363"/>
            <w:tcBorders>
              <w:top w:val="single" w:color="B7BDC8" w:sz="4"/>
              <w:left w:val="single" w:color="B7BDC8" w:sz="4"/>
              <w:bottom w:val="single" w:color="B7BDC8" w:sz="4"/>
              <w:right w:val="single" w:color="B7BDC8" w:sz="4"/>
            </w:tcBorders>
            <w:tcMar>
              <w:top w:type="dxa" w:w="70"/>
              <w:left w:type="dxa" w:w="110"/>
              <w:bottom w:type="dxa" w:w="70"/>
              <w:right w:type="dxa" w:w="110"/>
            </w:tcMar>
          </w:tcPr>
          <w:p>
            <w:pPr>
              <w:spacing w:after="0" w:line="252"/>
            </w:pPr>
            <w:r>
              <w:rPr>
                <w:sz w:val="19"/>
                <w:szCs w:val="19"/>
              </w:rPr>
              <w:t xml:space="preserve">About 1.5 seconds</w:t>
            </w:r>
          </w:p>
        </w:tc>
      </w:tr>
    </w:tbl>
    <w:p>
      <w:pPr>
        <w:spacing w:after="60"/>
      </w:pPr>
    </w:p>
    <w:p>
      <w:pPr>
        <w:pStyle w:val="Heading2"/>
      </w:pPr>
      <w:r>
        <w:t xml:space="preserve">11.2 Methodology Workflow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7BDC8" w:sz="4"/>
              <w:left w:val="single" w:color="B7BDC8" w:sz="4"/>
              <w:bottom w:val="single" w:color="B7BDC8" w:sz="4"/>
              <w:right w:val="single" w:color="B7BDC8" w:sz="4"/>
            </w:tcBorders>
            <w:shd w:fill="F2F2F2" w:color="auto" w:val="clear"/>
            <w:tcMar>
              <w:top w:type="dxa" w:w="70"/>
              <w:left w:type="dxa" w:w="110"/>
              <w:bottom w:type="dxa" w:w="70"/>
              <w:right w:type="dxa" w:w="110"/>
            </w:tcMar>
          </w:tcPr>
          <w:p>
            <w:pPr>
              <w:spacing w:after="60"/>
              <w:jc w:val="center"/>
            </w:pPr>
            <w:r>
              <w:rPr>
                <w:rFonts w:ascii="Times New Roman" w:cs="Times New Roman" w:eastAsia="Times New Roman" w:hAnsi="Times New Roman"/>
                <w:sz w:val="21"/>
                <w:szCs w:val="21"/>
              </w:rPr>
              <w:t xml:space="preserve">Capture (offline / live / testbed)  →  Decode  →  Reconstruct sessions  →  Infer cryptography (IKE + ESP geometry + PFS)  →  Classify traffic (AI + conformal)  →  Assess and grade  →  What-If remediation  →  Report (PDF / HTML / JSON)</w:t>
            </w:r>
          </w:p>
        </w:tc>
      </w:tr>
    </w:tbl>
    <w:p>
      <w:pPr>
        <w:spacing w:after="60"/>
      </w:pPr>
    </w:p>
    <w:p>
      <w:pPr>
        <w:pStyle w:val="Heading2"/>
      </w:pPr>
      <w:r>
        <w:t xml:space="preserve">11.3 References</w:t>
      </w:r>
    </w:p>
    <w:p>
      <w:pPr>
        <w:pStyle w:val="ListParagraph"/>
        <w:numPr>
          <w:ilvl w:val="0"/>
          <w:numId w:val="5"/>
        </w:numPr>
        <w:spacing w:after="80" w:line="264"/>
        <w:jc w:val="both"/>
      </w:pPr>
      <w:r>
        <w:t xml:space="preserve">C. Kaufman et al., "Internet Key Exchange Protocol Version 2 (IKEv2)," RFC 7296, IETF, 2014.</w:t>
      </w:r>
    </w:p>
    <w:p>
      <w:pPr>
        <w:pStyle w:val="ListParagraph"/>
        <w:numPr>
          <w:ilvl w:val="0"/>
          <w:numId w:val="5"/>
        </w:numPr>
        <w:spacing w:after="80" w:line="264"/>
        <w:jc w:val="both"/>
      </w:pPr>
      <w:r>
        <w:t xml:space="preserve">S. Kent, "IP Encapsulating Security Payload (ESP)," RFC 4303, IETF, 2005.</w:t>
      </w:r>
    </w:p>
    <w:p>
      <w:pPr>
        <w:pStyle w:val="ListParagraph"/>
        <w:numPr>
          <w:ilvl w:val="0"/>
          <w:numId w:val="5"/>
        </w:numPr>
        <w:spacing w:after="80" w:line="264"/>
        <w:jc w:val="both"/>
      </w:pPr>
      <w:r>
        <w:t xml:space="preserve">P. Wouters et al., "Cryptographic Algorithm Implementation Requirements and Usage Guidance for ESP and AH," RFC 8221, IETF, 2017.</w:t>
      </w:r>
    </w:p>
    <w:p>
      <w:pPr>
        <w:pStyle w:val="ListParagraph"/>
        <w:numPr>
          <w:ilvl w:val="0"/>
          <w:numId w:val="5"/>
        </w:numPr>
        <w:spacing w:after="80" w:line="264"/>
        <w:jc w:val="both"/>
      </w:pPr>
      <w:r>
        <w:t xml:space="preserve">Y. Nir et al., "Algorithm Implementation Requirements and Usage Guidance for IKEv2," RFC 8247, IETF, 2017.</w:t>
      </w:r>
    </w:p>
    <w:p>
      <w:pPr>
        <w:pStyle w:val="ListParagraph"/>
        <w:numPr>
          <w:ilvl w:val="0"/>
          <w:numId w:val="5"/>
        </w:numPr>
        <w:spacing w:after="80" w:line="264"/>
        <w:jc w:val="both"/>
      </w:pPr>
      <w:r>
        <w:t xml:space="preserve">C. Tjhai et al., "Multiple Key Exchanges in the Internet Key Exchange Protocol Version 2 (IKEv2)," RFC 9370, IETF, 2023.</w:t>
      </w:r>
    </w:p>
    <w:p>
      <w:pPr>
        <w:pStyle w:val="ListParagraph"/>
        <w:numPr>
          <w:ilvl w:val="0"/>
          <w:numId w:val="5"/>
        </w:numPr>
        <w:spacing w:after="80" w:line="264"/>
        <w:jc w:val="both"/>
      </w:pPr>
      <w:r>
        <w:t xml:space="preserve">P. Wouters, S. Prasad, "Deprecation of the Internet Key Exchange Version 1 (IKEv1) Protocol and Obsoleted Algorithms," RFC 9395, IETF, 2023.</w:t>
      </w:r>
    </w:p>
    <w:p>
      <w:pPr>
        <w:pStyle w:val="ListParagraph"/>
        <w:numPr>
          <w:ilvl w:val="0"/>
          <w:numId w:val="5"/>
        </w:numPr>
        <w:spacing w:after="80" w:line="264"/>
        <w:jc w:val="both"/>
      </w:pPr>
      <w:r>
        <w:t xml:space="preserve">V. Smyslov, "IKEv2 Message Fragmentation," RFC 7383, IETF, 2014.</w:t>
      </w:r>
    </w:p>
    <w:p>
      <w:pPr>
        <w:pStyle w:val="ListParagraph"/>
        <w:numPr>
          <w:ilvl w:val="0"/>
          <w:numId w:val="5"/>
        </w:numPr>
        <w:spacing w:after="80" w:line="264"/>
        <w:jc w:val="both"/>
      </w:pPr>
      <w:r>
        <w:t xml:space="preserve">NIST, "Guide to IPsec VPNs," Special Publication 800-77 Rev. 1, 2020.</w:t>
      </w:r>
    </w:p>
    <w:p>
      <w:pPr>
        <w:pStyle w:val="ListParagraph"/>
        <w:numPr>
          <w:ilvl w:val="0"/>
          <w:numId w:val="5"/>
        </w:numPr>
        <w:spacing w:after="80" w:line="264"/>
        <w:jc w:val="both"/>
      </w:pPr>
      <w:r>
        <w:t xml:space="preserve">NIST, "Module-Lattice-Based Key-Encapsulation Mechanism Standard," FIPS 203, 2024.</w:t>
      </w:r>
    </w:p>
    <w:p>
      <w:pPr>
        <w:pStyle w:val="ListParagraph"/>
        <w:numPr>
          <w:ilvl w:val="0"/>
          <w:numId w:val="5"/>
        </w:numPr>
        <w:spacing w:after="80" w:line="264"/>
        <w:jc w:val="both"/>
      </w:pPr>
      <w:r>
        <w:t xml:space="preserve">K. Bhargavan, G. Leurent, "On the Practical (In-)Security of 64-bit Block Ciphers (Sweet32)," ACM CCS, 2016.</w:t>
      </w:r>
    </w:p>
    <w:p>
      <w:pPr>
        <w:pStyle w:val="ListParagraph"/>
        <w:numPr>
          <w:ilvl w:val="0"/>
          <w:numId w:val="5"/>
        </w:numPr>
        <w:spacing w:after="80" w:line="264"/>
        <w:jc w:val="both"/>
      </w:pPr>
      <w:r>
        <w:t xml:space="preserve">V. Vovk, A. Gammerman, G. Shafer, "Algorithmic Learning in a Random World," Springer, 2005 (conformal prediction).</w:t>
      </w:r>
    </w:p>
    <w:p>
      <w:pPr>
        <w:pStyle w:val="ListParagraph"/>
        <w:numPr>
          <w:ilvl w:val="0"/>
          <w:numId w:val="5"/>
        </w:numPr>
        <w:spacing w:after="80" w:line="264"/>
        <w:jc w:val="both"/>
      </w:pPr>
      <w:r>
        <w:t xml:space="preserve">G. Draper-Gil et al., "Characterization of Encrypted and VPN Traffic Using Time-Related Features," ICISSP, 2016.</w:t>
      </w:r>
    </w:p>
    <w:sectPr>
      <w:headerReference w:type="default" r:id="rId6"/>
      <w:footerReference w:type="default" r:id="rId7"/>
      <w:pgSz w:w="11906" w:h="16838" w:orient="portrait"/>
      <w:pgMar w:top="1440" w:right="1440" w:bottom="1300" w:left="1440" w:header="500" w:footer="5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7"/>
        <w:szCs w:val="17"/>
      </w:rPr>
      <w:t xml:space="preserve">NUNMATHI (PS 26160) — NTRO IPsec VPN Analyzer · Team Bharat GenNXT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drawing>
        <wp:inline distT="0" distB="0" distL="0" distR="0">
          <wp:extent cx="1333500" cy="514350"/>
          <wp:effectExtent t="0" r="0" b="0" l="0"/>
          <wp:docPr id="3" name="logo" descr="Team Bharat GenNXT logo" title="Bharat GenN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33500" cy="5143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400"/>
      </w:pPr>
    </w:lvl>
  </w:abstractNum>
  <w:abstractNum w:abstractNumId="4" w15:restartNumberingAfterBreak="0">
    <w:multiLevelType w:val="hybridMultilevel"/>
    <w:lvl w:ilvl="0" w:tentative="1">
      <w:start w:val="1"/>
      <w:numFmt w:val="decimal"/>
      <w:lvlText w:val="%1."/>
      <w:lvlJc w:val="left"/>
      <w:pPr>
        <w:ind w:left="540" w:hanging="400"/>
      </w:pPr>
    </w:lvl>
  </w:abstractNum>
  <w:abstractNum w:abstractNumId="5" w15:restartNumberingAfterBreak="0">
    <w:multiLevelType w:val="hybridMultilevel"/>
    <w:lvl w:ilvl="0" w:tentative="1">
      <w:start w:val="1"/>
      <w:numFmt w:val="decimal"/>
      <w:lvlText w:val="[%1]"/>
      <w:lvlJc w:val="left"/>
      <w:pPr>
        <w:ind w:left="540" w:hanging="4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00"/>
      <w:outlineLvl w:val="0"/>
    </w:pPr>
    <w:rPr>
      <w:rFonts w:ascii="Times New Roman" w:cs="Times New Roman" w:eastAsia="Times New Roman" w:hAnsi="Times New Roman"/>
      <w:b/>
      <w:bCs/>
      <w:color w:val="1F2A44"/>
      <w:sz w:val="30"/>
      <w:szCs w:val="30"/>
    </w:rPr>
  </w:style>
  <w:style w:type="paragraph" w:styleId="Heading2">
    <w:name w:val="Heading 2"/>
    <w:basedOn w:val="Normal"/>
    <w:next w:val="Normal"/>
    <w:qFormat/>
    <w:pPr>
      <w:keepNext/>
      <w:spacing w:after="100" w:before="200"/>
      <w:outlineLvl w:val="1"/>
    </w:pPr>
    <w:rPr>
      <w:rFonts w:ascii="Times New Roman" w:cs="Times New Roman" w:eastAsia="Times New Roman" w:hAnsi="Times New Roman"/>
      <w:b/>
      <w:bCs/>
      <w:color w:val="1F2A44"/>
      <w:sz w:val="25"/>
      <w:szCs w:val="25"/>
    </w:rPr>
  </w:style>
  <w:style w:type="paragraph" w:styleId="Heading3">
    <w:name w:val="Heading 3"/>
    <w:basedOn w:val="Normal"/>
    <w:next w:val="Normal"/>
    <w:qFormat/>
    <w:pPr>
      <w:keepNext/>
      <w:spacing w:after="80" w:before="160"/>
      <w:outlineLvl w:val="2"/>
    </w:pPr>
    <w:rPr>
      <w:rFonts w:ascii="Times New Roman" w:cs="Times New Roman" w:eastAsia="Times New Roman" w:hAnsi="Times New Roman"/>
      <w:b/>
      <w:bCs/>
      <w:i/>
      <w:iCs/>
      <w:color w:val="1F2A44"/>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4adcb94b749c40e72adee521c1296ff9d58ce9de.png"/><Relationship Id="rId10" Type="http://schemas.openxmlformats.org/officeDocument/2006/relationships/image" Target="media/e7cff64ac69ff3f3ff5172f72a93e647a937c88f.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5dd2811cef284a6c43a2d5d86e835f762d8cff7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NUNMATHI - AI-Powered IPsec VPN Protocol Analyzer (SIH26160)</dc:title>
  <dc:creator>Team Bharat-GenNXT</dc:creator>
  <cp:lastModifiedBy>Un-named</cp:lastModifiedBy>
  <cp:revision>1</cp:revision>
  <dcterms:created xsi:type="dcterms:W3CDTF">2026-09-28T19:55:45.814Z</dcterms:created>
  <dcterms:modified xsi:type="dcterms:W3CDTF">2026-09-28T19:55:45.815Z</dcterms:modified>
</cp:coreProperties>
</file>

<file path=docProps/custom.xml><?xml version="1.0" encoding="utf-8"?>
<Properties xmlns="http://schemas.openxmlformats.org/officeDocument/2006/custom-properties" xmlns:vt="http://schemas.openxmlformats.org/officeDocument/2006/docPropsVTypes"/>
</file>