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 – 1. BRAINSTORMING</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Date</w:t>
            </w:r>
          </w:p>
        </w:tc>
        <w:tc>
          <w:tcPr>
            <w:tcW w:type="dxa" w:w="5112"/>
            <w:vAlign w:val="center"/>
          </w:tcPr>
          <w:p>
            <w:r/>
            <w:r>
              <w:rPr>
                <w:b w:val="0"/>
                <w:sz w:val="18"/>
              </w:rPr>
              <w:t>8/10/2026</w:t>
            </w:r>
          </w:p>
        </w:tc>
      </w:tr>
      <w:tr>
        <w:tc>
          <w:tcPr>
            <w:tcW w:type="dxa" w:w="5112"/>
            <w:vAlign w:val="center"/>
            <w:shd w:fill="D9EAF7"/>
          </w:tcPr>
          <w:p>
            <w:r/>
            <w:r>
              <w:rPr>
                <w:b/>
                <w:sz w:val="18"/>
              </w:rPr>
              <w:t>Team ID</w:t>
            </w:r>
          </w:p>
        </w:tc>
        <w:tc>
          <w:tcPr>
            <w:tcW w:type="dxa" w:w="5112"/>
            <w:vAlign w:val="center"/>
          </w:tcPr>
          <w:p>
            <w:r/>
            <w:r>
              <w:rPr>
                <w:b w:val="0"/>
                <w:sz w:val="18"/>
              </w:rPr>
              <w:t>9100Orbit</w:t>
            </w:r>
          </w:p>
        </w:tc>
      </w:tr>
      <w:tr>
        <w:tc>
          <w:tcPr>
            <w:tcW w:type="dxa" w:w="5112"/>
            <w:vAlign w:val="center"/>
            <w:shd w:fill="D9EAF7"/>
          </w:tcPr>
          <w:p>
            <w:r/>
            <w:r>
              <w:rPr>
                <w:b/>
                <w:sz w:val="18"/>
              </w:rPr>
              <w:t>Project Name</w:t>
            </w:r>
          </w:p>
        </w:tc>
        <w:tc>
          <w:tcPr>
            <w:tcW w:type="dxa" w:w="5112"/>
            <w:vAlign w:val="center"/>
          </w:tcPr>
          <w:p>
            <w:r/>
            <w:r>
              <w:rPr>
                <w:b w:val="0"/>
                <w:sz w:val="18"/>
              </w:rPr>
              <w:t>Implement Client Script &amp; UI Policy (Incident)</w:t>
            </w:r>
          </w:p>
        </w:tc>
      </w:tr>
      <w:tr>
        <w:tc>
          <w:tcPr>
            <w:tcW w:type="dxa" w:w="5112"/>
            <w:vAlign w:val="center"/>
            <w:shd w:fill="D9EAF7"/>
          </w:tcPr>
          <w:p>
            <w:r/>
            <w:r>
              <w:rPr>
                <w:b/>
                <w:sz w:val="18"/>
              </w:rPr>
              <w:t>Maximum Marks</w:t>
            </w:r>
          </w:p>
        </w:tc>
        <w:tc>
          <w:tcPr>
            <w:tcW w:type="dxa" w:w="5112"/>
            <w:vAlign w:val="center"/>
          </w:tcPr>
          <w:p>
            <w:r/>
            <w:r>
              <w:rPr>
                <w:b w:val="0"/>
                <w:sz w:val="18"/>
              </w:rPr>
              <w:t>4 Marks</w:t>
            </w:r>
          </w:p>
        </w:tc>
      </w:tr>
    </w:tbl>
    <w:p/>
    <w:p>
      <w:pPr>
        <w:pStyle w:val="Heading1"/>
      </w:pPr>
      <w:r>
        <w:t>Brainstorm &amp; Idea Prioritization Template</w:t>
      </w:r>
    </w:p>
    <w:p>
      <w:r>
        <w:t>Brainstorming provides a free and open environment that encourages everyone within a team to participate in creative thinking and problem solving. For this project, the team focused on improving Incident data quality and enforcing business rules through ServiceNow UI-level controls.</w:t>
      </w:r>
    </w:p>
    <w:p>
      <w:r>
        <w:t>Reference: Mural – Brainstorm and Idea Prioritization Template</w:t>
      </w:r>
    </w:p>
    <w:p>
      <w:pPr>
        <w:pStyle w:val="Heading2"/>
      </w:pPr>
      <w:r>
        <w:t>Step-1: Team Gathering, Collaboration and Select the Problem Statement</w:t>
      </w:r>
    </w:p>
    <w:p>
      <w:r>
        <w:t>The team reviewed the Incident-management workflow and identified that relying only on user awareness and manual checks can lead to incomplete, inconsistent, or incorrect Incident records. The selected problem is therefore to enforce conditional field behavior and validation directly at the user interface level.</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Observation / Need</w:t>
            </w:r>
          </w:p>
        </w:tc>
        <w:tc>
          <w:tcPr>
            <w:tcW w:type="dxa" w:w="3408"/>
            <w:vAlign w:val="center"/>
            <w:shd w:fill="D9EAF7"/>
          </w:tcPr>
          <w:p>
            <w:r/>
            <w:r>
              <w:rPr>
                <w:b/>
                <w:sz w:val="18"/>
              </w:rPr>
              <w:t>Possible Idea</w:t>
            </w:r>
          </w:p>
        </w:tc>
        <w:tc>
          <w:tcPr>
            <w:tcW w:type="dxa" w:w="3408"/>
            <w:vAlign w:val="center"/>
            <w:shd w:fill="D9EAF7"/>
          </w:tcPr>
          <w:p>
            <w:r/>
            <w:r>
              <w:rPr>
                <w:b/>
                <w:sz w:val="18"/>
              </w:rPr>
              <w:t>Reason for Considering</w:t>
            </w:r>
          </w:p>
        </w:tc>
      </w:tr>
      <w:tr>
        <w:tc>
          <w:tcPr>
            <w:tcW w:type="dxa" w:w="3408"/>
            <w:vAlign w:val="center"/>
          </w:tcPr>
          <w:p>
            <w:r/>
            <w:r>
              <w:rPr>
                <w:b w:val="0"/>
                <w:sz w:val="18"/>
              </w:rPr>
              <w:t>Incomplete mandatory information</w:t>
            </w:r>
          </w:p>
        </w:tc>
        <w:tc>
          <w:tcPr>
            <w:tcW w:type="dxa" w:w="3408"/>
            <w:vAlign w:val="center"/>
          </w:tcPr>
          <w:p>
            <w:r/>
            <w:r>
              <w:rPr>
                <w:b w:val="0"/>
                <w:sz w:val="18"/>
              </w:rPr>
              <w:t>Conditionally make fields mandatory</w:t>
            </w:r>
          </w:p>
        </w:tc>
        <w:tc>
          <w:tcPr>
            <w:tcW w:type="dxa" w:w="3408"/>
            <w:vAlign w:val="center"/>
          </w:tcPr>
          <w:p>
            <w:r/>
            <w:r>
              <w:rPr>
                <w:b w:val="0"/>
                <w:sz w:val="18"/>
              </w:rPr>
              <w:t>Ensures required information is entered before submission.</w:t>
            </w:r>
          </w:p>
        </w:tc>
      </w:tr>
      <w:tr>
        <w:tc>
          <w:tcPr>
            <w:tcW w:type="dxa" w:w="3408"/>
            <w:vAlign w:val="center"/>
          </w:tcPr>
          <w:p>
            <w:r/>
            <w:r>
              <w:rPr>
                <w:b w:val="0"/>
                <w:sz w:val="18"/>
              </w:rPr>
              <w:t>High-impact Incident requires additional controls</w:t>
            </w:r>
          </w:p>
        </w:tc>
        <w:tc>
          <w:tcPr>
            <w:tcW w:type="dxa" w:w="3408"/>
            <w:vAlign w:val="center"/>
          </w:tcPr>
          <w:p>
            <w:r/>
            <w:r>
              <w:rPr>
                <w:b w:val="0"/>
                <w:sz w:val="18"/>
              </w:rPr>
              <w:t>Create a UI Policy based on Impact = 1 – High</w:t>
            </w:r>
          </w:p>
        </w:tc>
        <w:tc>
          <w:tcPr>
            <w:tcW w:type="dxa" w:w="3408"/>
            <w:vAlign w:val="center"/>
          </w:tcPr>
          <w:p>
            <w:r/>
            <w:r>
              <w:rPr>
                <w:b w:val="0"/>
                <w:sz w:val="18"/>
              </w:rPr>
              <w:t>Applies stricter controls only when the Incident is High Impact.</w:t>
            </w:r>
          </w:p>
        </w:tc>
      </w:tr>
      <w:tr>
        <w:tc>
          <w:tcPr>
            <w:tcW w:type="dxa" w:w="3408"/>
            <w:vAlign w:val="center"/>
          </w:tcPr>
          <w:p>
            <w:r/>
            <w:r>
              <w:rPr>
                <w:b w:val="0"/>
                <w:sz w:val="18"/>
              </w:rPr>
              <w:t>Urgency should be consistent for High Impact</w:t>
            </w:r>
          </w:p>
        </w:tc>
        <w:tc>
          <w:tcPr>
            <w:tcW w:type="dxa" w:w="3408"/>
            <w:vAlign w:val="center"/>
          </w:tcPr>
          <w:p>
            <w:r/>
            <w:r>
              <w:rPr>
                <w:b w:val="0"/>
                <w:sz w:val="18"/>
              </w:rPr>
              <w:t>Use an onChange Client Script</w:t>
            </w:r>
          </w:p>
        </w:tc>
        <w:tc>
          <w:tcPr>
            <w:tcW w:type="dxa" w:w="3408"/>
            <w:vAlign w:val="center"/>
          </w:tcPr>
          <w:p>
            <w:r/>
            <w:r>
              <w:rPr>
                <w:b w:val="0"/>
                <w:sz w:val="18"/>
              </w:rPr>
              <w:t>Automatically sets Urgency to High and reduces manual errors.</w:t>
            </w:r>
          </w:p>
        </w:tc>
      </w:tr>
      <w:tr>
        <w:tc>
          <w:tcPr>
            <w:tcW w:type="dxa" w:w="3408"/>
            <w:vAlign w:val="center"/>
          </w:tcPr>
          <w:p>
            <w:r/>
            <w:r>
              <w:rPr>
                <w:b w:val="0"/>
                <w:sz w:val="18"/>
              </w:rPr>
              <w:t>Incident should not save without Assigned To</w:t>
            </w:r>
          </w:p>
        </w:tc>
        <w:tc>
          <w:tcPr>
            <w:tcW w:type="dxa" w:w="3408"/>
            <w:vAlign w:val="center"/>
          </w:tcPr>
          <w:p>
            <w:r/>
            <w:r>
              <w:rPr>
                <w:b w:val="0"/>
                <w:sz w:val="18"/>
              </w:rPr>
              <w:t>Use an onSubmit Client Script</w:t>
            </w:r>
          </w:p>
        </w:tc>
        <w:tc>
          <w:tcPr>
            <w:tcW w:type="dxa" w:w="3408"/>
            <w:vAlign w:val="center"/>
          </w:tcPr>
          <w:p>
            <w:r/>
            <w:r>
              <w:rPr>
                <w:b w:val="0"/>
                <w:sz w:val="18"/>
              </w:rPr>
              <w:t>Prevents incomplete records from being submitted.</w:t>
            </w:r>
          </w:p>
        </w:tc>
      </w:tr>
      <w:tr>
        <w:tc>
          <w:tcPr>
            <w:tcW w:type="dxa" w:w="3408"/>
            <w:vAlign w:val="center"/>
          </w:tcPr>
          <w:p>
            <w:r/>
            <w:r>
              <w:rPr>
                <w:b w:val="0"/>
                <w:sz w:val="18"/>
              </w:rPr>
              <w:t>State should not be changed directly through list editing</w:t>
            </w:r>
          </w:p>
        </w:tc>
        <w:tc>
          <w:tcPr>
            <w:tcW w:type="dxa" w:w="3408"/>
            <w:vAlign w:val="center"/>
          </w:tcPr>
          <w:p>
            <w:r/>
            <w:r>
              <w:rPr>
                <w:b w:val="0"/>
                <w:sz w:val="18"/>
              </w:rPr>
              <w:t>Use an onCellEdit Client Script</w:t>
            </w:r>
          </w:p>
        </w:tc>
        <w:tc>
          <w:tcPr>
            <w:tcW w:type="dxa" w:w="3408"/>
            <w:vAlign w:val="center"/>
          </w:tcPr>
          <w:p>
            <w:r/>
            <w:r>
              <w:rPr>
                <w:b w:val="0"/>
                <w:sz w:val="18"/>
              </w:rPr>
              <w:t>Blocks direct list-view State changes.</w:t>
            </w:r>
          </w:p>
        </w:tc>
      </w:tr>
      <w:tr>
        <w:tc>
          <w:tcPr>
            <w:tcW w:type="dxa" w:w="3408"/>
            <w:vAlign w:val="center"/>
          </w:tcPr>
          <w:p>
            <w:r/>
            <w:r>
              <w:rPr>
                <w:b w:val="0"/>
                <w:sz w:val="18"/>
              </w:rPr>
              <w:t>Normal behavior should return when condition is false</w:t>
            </w:r>
          </w:p>
        </w:tc>
        <w:tc>
          <w:tcPr>
            <w:tcW w:type="dxa" w:w="3408"/>
            <w:vAlign w:val="center"/>
          </w:tcPr>
          <w:p>
            <w:r/>
            <w:r>
              <w:rPr>
                <w:b w:val="0"/>
                <w:sz w:val="18"/>
              </w:rPr>
              <w:t>Use Reverse if false</w:t>
            </w:r>
          </w:p>
        </w:tc>
        <w:tc>
          <w:tcPr>
            <w:tcW w:type="dxa" w:w="3408"/>
            <w:vAlign w:val="center"/>
          </w:tcPr>
          <w:p>
            <w:r/>
            <w:r>
              <w:rPr>
                <w:b w:val="0"/>
                <w:sz w:val="18"/>
              </w:rPr>
              <w:t>Reverts UI Policy changes when Impact is no longer High.</w:t>
            </w:r>
          </w:p>
        </w:tc>
      </w:tr>
    </w:tbl>
    <w:p>
      <w:pPr>
        <w:jc w:val="center"/>
      </w:pPr>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pdf_page_3.png"/>
                    <pic:cNvPicPr/>
                  </pic:nvPicPr>
                  <pic:blipFill>
                    <a:blip r:embed="rId9"/>
                    <a:stretch>
                      <a:fillRect/>
                    </a:stretch>
                  </pic:blipFill>
                  <pic:spPr>
                    <a:xfrm>
                      <a:off x="0" y="0"/>
                      <a:ext cx="5303520" cy="6863379"/>
                    </a:xfrm>
                    <a:prstGeom prst="rect"/>
                  </pic:spPr>
                </pic:pic>
              </a:graphicData>
            </a:graphic>
          </wp:inline>
        </w:drawing>
      </w:r>
    </w:p>
    <w:p>
      <w:pPr>
        <w:jc w:val="center"/>
      </w:pPr>
      <w:r>
        <w:rPr>
          <w:i/>
          <w:sz w:val="18"/>
        </w:rPr>
        <w:t>Figure 1. High Impact Control UI Policy configuration from the uploaded project PDF.</w:t>
      </w:r>
    </w:p>
    <w:p>
      <w:pPr>
        <w:pStyle w:val="Heading2"/>
      </w:pPr>
      <w:r>
        <w:t>Step-2: Brainstorm, Idea Listing and Grouping</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Idea Group</w:t>
            </w:r>
          </w:p>
        </w:tc>
        <w:tc>
          <w:tcPr>
            <w:tcW w:type="dxa" w:w="3408"/>
            <w:vAlign w:val="center"/>
            <w:shd w:fill="D9EAF7"/>
          </w:tcPr>
          <w:p>
            <w:r/>
            <w:r>
              <w:rPr>
                <w:b/>
                <w:sz w:val="18"/>
              </w:rPr>
              <w:t>Brainstormed Ideas</w:t>
            </w:r>
          </w:p>
        </w:tc>
        <w:tc>
          <w:tcPr>
            <w:tcW w:type="dxa" w:w="3408"/>
            <w:vAlign w:val="center"/>
            <w:shd w:fill="D9EAF7"/>
          </w:tcPr>
          <w:p>
            <w:r/>
            <w:r>
              <w:rPr>
                <w:b/>
                <w:sz w:val="18"/>
              </w:rPr>
              <w:t>Project Relevance</w:t>
            </w:r>
          </w:p>
        </w:tc>
      </w:tr>
      <w:tr>
        <w:tc>
          <w:tcPr>
            <w:tcW w:type="dxa" w:w="3408"/>
            <w:vAlign w:val="center"/>
          </w:tcPr>
          <w:p>
            <w:r/>
            <w:r>
              <w:rPr>
                <w:b w:val="0"/>
                <w:sz w:val="18"/>
              </w:rPr>
              <w:t>Data validation</w:t>
            </w:r>
          </w:p>
        </w:tc>
        <w:tc>
          <w:tcPr>
            <w:tcW w:type="dxa" w:w="3408"/>
            <w:vAlign w:val="center"/>
          </w:tcPr>
          <w:p>
            <w:r/>
            <w:r>
              <w:rPr>
                <w:b w:val="0"/>
                <w:sz w:val="18"/>
              </w:rPr>
              <w:t>Mandatory fields; save-time validation; error messages</w:t>
            </w:r>
          </w:p>
        </w:tc>
        <w:tc>
          <w:tcPr>
            <w:tcW w:type="dxa" w:w="3408"/>
            <w:vAlign w:val="center"/>
          </w:tcPr>
          <w:p>
            <w:r/>
            <w:r>
              <w:rPr>
                <w:b w:val="0"/>
                <w:sz w:val="18"/>
              </w:rPr>
              <w:t>Improves Incident data integrity.</w:t>
            </w:r>
          </w:p>
        </w:tc>
      </w:tr>
      <w:tr>
        <w:tc>
          <w:tcPr>
            <w:tcW w:type="dxa" w:w="3408"/>
            <w:vAlign w:val="center"/>
          </w:tcPr>
          <w:p>
            <w:r/>
            <w:r>
              <w:rPr>
                <w:b w:val="0"/>
                <w:sz w:val="18"/>
              </w:rPr>
              <w:t>Dynamic form behavior</w:t>
            </w:r>
          </w:p>
        </w:tc>
        <w:tc>
          <w:tcPr>
            <w:tcW w:type="dxa" w:w="3408"/>
            <w:vAlign w:val="center"/>
          </w:tcPr>
          <w:p>
            <w:r/>
            <w:r>
              <w:rPr>
                <w:b w:val="0"/>
                <w:sz w:val="18"/>
              </w:rPr>
              <w:t>Mandatory status; read-only controls; conditional behavior</w:t>
            </w:r>
          </w:p>
        </w:tc>
        <w:tc>
          <w:tcPr>
            <w:tcW w:type="dxa" w:w="3408"/>
            <w:vAlign w:val="center"/>
          </w:tcPr>
          <w:p>
            <w:r/>
            <w:r>
              <w:rPr>
                <w:b w:val="0"/>
                <w:sz w:val="18"/>
              </w:rPr>
              <w:t>Implemented through UI Policy Actions.</w:t>
            </w:r>
          </w:p>
        </w:tc>
      </w:tr>
      <w:tr>
        <w:tc>
          <w:tcPr>
            <w:tcW w:type="dxa" w:w="3408"/>
            <w:vAlign w:val="center"/>
          </w:tcPr>
          <w:p>
            <w:r/>
            <w:r>
              <w:rPr>
                <w:b w:val="0"/>
                <w:sz w:val="18"/>
              </w:rPr>
              <w:t>Automation</w:t>
            </w:r>
          </w:p>
        </w:tc>
        <w:tc>
          <w:tcPr>
            <w:tcW w:type="dxa" w:w="3408"/>
            <w:vAlign w:val="center"/>
          </w:tcPr>
          <w:p>
            <w:r/>
            <w:r>
              <w:rPr>
                <w:b w:val="0"/>
                <w:sz w:val="18"/>
              </w:rPr>
              <w:t>Auto-set Urgency for High Impact</w:t>
            </w:r>
          </w:p>
        </w:tc>
        <w:tc>
          <w:tcPr>
            <w:tcW w:type="dxa" w:w="3408"/>
            <w:vAlign w:val="center"/>
          </w:tcPr>
          <w:p>
            <w:r/>
            <w:r>
              <w:rPr>
                <w:b w:val="0"/>
                <w:sz w:val="18"/>
              </w:rPr>
              <w:t>Implemented through onChange Client Script.</w:t>
            </w:r>
          </w:p>
        </w:tc>
      </w:tr>
      <w:tr>
        <w:tc>
          <w:tcPr>
            <w:tcW w:type="dxa" w:w="3408"/>
            <w:vAlign w:val="center"/>
          </w:tcPr>
          <w:p>
            <w:r/>
            <w:r>
              <w:rPr>
                <w:b w:val="0"/>
                <w:sz w:val="18"/>
              </w:rPr>
              <w:t>Interaction control</w:t>
            </w:r>
          </w:p>
        </w:tc>
        <w:tc>
          <w:tcPr>
            <w:tcW w:type="dxa" w:w="3408"/>
            <w:vAlign w:val="center"/>
          </w:tcPr>
          <w:p>
            <w:r/>
            <w:r>
              <w:rPr>
                <w:b w:val="0"/>
                <w:sz w:val="18"/>
              </w:rPr>
              <w:t>Block State changes through list editing</w:t>
            </w:r>
          </w:p>
        </w:tc>
        <w:tc>
          <w:tcPr>
            <w:tcW w:type="dxa" w:w="3408"/>
            <w:vAlign w:val="center"/>
          </w:tcPr>
          <w:p>
            <w:r/>
            <w:r>
              <w:rPr>
                <w:b w:val="0"/>
                <w:sz w:val="18"/>
              </w:rPr>
              <w:t>Implemented through onCellEdit Client Script.</w:t>
            </w:r>
          </w:p>
        </w:tc>
      </w:tr>
      <w:tr>
        <w:tc>
          <w:tcPr>
            <w:tcW w:type="dxa" w:w="3408"/>
            <w:vAlign w:val="center"/>
          </w:tcPr>
          <w:p>
            <w:r/>
            <w:r>
              <w:rPr>
                <w:b w:val="0"/>
                <w:sz w:val="18"/>
              </w:rPr>
              <w:t>Testing and verification</w:t>
            </w:r>
          </w:p>
        </w:tc>
        <w:tc>
          <w:tcPr>
            <w:tcW w:type="dxa" w:w="3408"/>
            <w:vAlign w:val="center"/>
          </w:tcPr>
          <w:p>
            <w:r/>
            <w:r>
              <w:rPr>
                <w:b w:val="0"/>
                <w:sz w:val="18"/>
              </w:rPr>
              <w:t>Mandatory test; successful save; reverse condition; list edit; form update</w:t>
            </w:r>
          </w:p>
        </w:tc>
        <w:tc>
          <w:tcPr>
            <w:tcW w:type="dxa" w:w="3408"/>
            <w:vAlign w:val="center"/>
          </w:tcPr>
          <w:p>
            <w:r/>
            <w:r>
              <w:rPr>
                <w:b w:val="0"/>
                <w:sz w:val="18"/>
              </w:rPr>
              <w:t>Confirms all configured controls work correctly.</w:t>
            </w:r>
          </w:p>
        </w:tc>
      </w:tr>
    </w:tbl>
    <w:p>
      <w:pPr>
        <w:jc w:val="center"/>
      </w:pPr>
      <w:r>
        <w:drawing>
          <wp:inline xmlns:a="http://schemas.openxmlformats.org/drawingml/2006/main" xmlns:pic="http://schemas.openxmlformats.org/drawingml/2006/picture">
            <wp:extent cx="5303520" cy="6863379"/>
            <wp:docPr id="2" name="Picture 2"/>
            <wp:cNvGraphicFramePr>
              <a:graphicFrameLocks noChangeAspect="1"/>
            </wp:cNvGraphicFramePr>
            <a:graphic>
              <a:graphicData uri="http://schemas.openxmlformats.org/drawingml/2006/picture">
                <pic:pic>
                  <pic:nvPicPr>
                    <pic:cNvPr id="0" name="pdf_page_7.png"/>
                    <pic:cNvPicPr/>
                  </pic:nvPicPr>
                  <pic:blipFill>
                    <a:blip r:embed="rId10"/>
                    <a:stretch>
                      <a:fillRect/>
                    </a:stretch>
                  </pic:blipFill>
                  <pic:spPr>
                    <a:xfrm>
                      <a:off x="0" y="0"/>
                      <a:ext cx="5303520" cy="6863379"/>
                    </a:xfrm>
                    <a:prstGeom prst="rect"/>
                  </pic:spPr>
                </pic:pic>
              </a:graphicData>
            </a:graphic>
          </wp:inline>
        </w:drawing>
      </w:r>
    </w:p>
    <w:p>
      <w:pPr>
        <w:jc w:val="center"/>
      </w:pPr>
      <w:r>
        <w:rPr>
          <w:i/>
          <w:sz w:val="18"/>
        </w:rPr>
        <w:t>Figure 2. onChange Client Script configuration from the uploaded project PDF.</w:t>
      </w:r>
    </w:p>
    <w:p>
      <w:pPr>
        <w:pStyle w:val="Heading2"/>
      </w:pPr>
      <w:r>
        <w:t>Step-3: Idea Prioritization</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Priority</w:t>
            </w:r>
          </w:p>
        </w:tc>
        <w:tc>
          <w:tcPr>
            <w:tcW w:type="dxa" w:w="2045"/>
            <w:vAlign w:val="center"/>
            <w:shd w:fill="D9EAF7"/>
          </w:tcPr>
          <w:p>
            <w:r/>
            <w:r>
              <w:rPr>
                <w:b/>
                <w:sz w:val="18"/>
              </w:rPr>
              <w:t>Idea</w:t>
            </w:r>
          </w:p>
        </w:tc>
        <w:tc>
          <w:tcPr>
            <w:tcW w:type="dxa" w:w="2045"/>
            <w:vAlign w:val="center"/>
            <w:shd w:fill="D9EAF7"/>
          </w:tcPr>
          <w:p>
            <w:r/>
            <w:r>
              <w:rPr>
                <w:b/>
                <w:sz w:val="18"/>
              </w:rPr>
              <w:t>Impact</w:t>
            </w:r>
          </w:p>
        </w:tc>
        <w:tc>
          <w:tcPr>
            <w:tcW w:type="dxa" w:w="2045"/>
            <w:vAlign w:val="center"/>
            <w:shd w:fill="D9EAF7"/>
          </w:tcPr>
          <w:p>
            <w:r/>
            <w:r>
              <w:rPr>
                <w:b/>
                <w:sz w:val="18"/>
              </w:rPr>
              <w:t>Feasibility</w:t>
            </w:r>
          </w:p>
        </w:tc>
        <w:tc>
          <w:tcPr>
            <w:tcW w:type="dxa" w:w="2045"/>
            <w:vAlign w:val="center"/>
            <w:shd w:fill="D9EAF7"/>
          </w:tcPr>
          <w:p>
            <w:r/>
            <w:r>
              <w:rPr>
                <w:b/>
                <w:sz w:val="18"/>
              </w:rPr>
              <w:t>Decision</w:t>
            </w:r>
          </w:p>
        </w:tc>
      </w:tr>
      <w:tr>
        <w:tc>
          <w:tcPr>
            <w:tcW w:type="dxa" w:w="2045"/>
            <w:vAlign w:val="center"/>
          </w:tcPr>
          <w:p>
            <w:r/>
            <w:r>
              <w:rPr>
                <w:b w:val="0"/>
                <w:sz w:val="18"/>
              </w:rPr>
              <w:t>1</w:t>
            </w:r>
          </w:p>
        </w:tc>
        <w:tc>
          <w:tcPr>
            <w:tcW w:type="dxa" w:w="2045"/>
            <w:vAlign w:val="center"/>
          </w:tcPr>
          <w:p>
            <w:r/>
            <w:r>
              <w:rPr>
                <w:b w:val="0"/>
                <w:sz w:val="18"/>
              </w:rPr>
              <w:t>UI Policy for High Impact and mandatory Assignment Group</w:t>
            </w:r>
          </w:p>
        </w:tc>
        <w:tc>
          <w:tcPr>
            <w:tcW w:type="dxa" w:w="2045"/>
            <w:vAlign w:val="center"/>
          </w:tcPr>
          <w:p>
            <w:r/>
            <w:r>
              <w:rPr>
                <w:b w:val="0"/>
                <w:sz w:val="18"/>
              </w:rPr>
              <w:t>High</w:t>
            </w:r>
          </w:p>
        </w:tc>
        <w:tc>
          <w:tcPr>
            <w:tcW w:type="dxa" w:w="2045"/>
            <w:vAlign w:val="center"/>
          </w:tcPr>
          <w:p>
            <w:r/>
            <w:r>
              <w:rPr>
                <w:b w:val="0"/>
                <w:sz w:val="18"/>
              </w:rPr>
              <w:t>High</w:t>
            </w:r>
          </w:p>
        </w:tc>
        <w:tc>
          <w:tcPr>
            <w:tcW w:type="dxa" w:w="2045"/>
            <w:vAlign w:val="center"/>
          </w:tcPr>
          <w:p>
            <w:r/>
            <w:r>
              <w:rPr>
                <w:b w:val="0"/>
                <w:sz w:val="18"/>
              </w:rPr>
              <w:t>Selected</w:t>
            </w:r>
          </w:p>
        </w:tc>
      </w:tr>
      <w:tr>
        <w:tc>
          <w:tcPr>
            <w:tcW w:type="dxa" w:w="2045"/>
            <w:vAlign w:val="center"/>
          </w:tcPr>
          <w:p>
            <w:r/>
            <w:r>
              <w:rPr>
                <w:b w:val="0"/>
                <w:sz w:val="18"/>
              </w:rPr>
              <w:t>2</w:t>
            </w:r>
          </w:p>
        </w:tc>
        <w:tc>
          <w:tcPr>
            <w:tcW w:type="dxa" w:w="2045"/>
            <w:vAlign w:val="center"/>
          </w:tcPr>
          <w:p>
            <w:r/>
            <w:r>
              <w:rPr>
                <w:b w:val="0"/>
                <w:sz w:val="18"/>
              </w:rPr>
              <w:t>onSubmit validation for Assigned To</w:t>
            </w:r>
          </w:p>
        </w:tc>
        <w:tc>
          <w:tcPr>
            <w:tcW w:type="dxa" w:w="2045"/>
            <w:vAlign w:val="center"/>
          </w:tcPr>
          <w:p>
            <w:r/>
            <w:r>
              <w:rPr>
                <w:b w:val="0"/>
                <w:sz w:val="18"/>
              </w:rPr>
              <w:t>High</w:t>
            </w:r>
          </w:p>
        </w:tc>
        <w:tc>
          <w:tcPr>
            <w:tcW w:type="dxa" w:w="2045"/>
            <w:vAlign w:val="center"/>
          </w:tcPr>
          <w:p>
            <w:r/>
            <w:r>
              <w:rPr>
                <w:b w:val="0"/>
                <w:sz w:val="18"/>
              </w:rPr>
              <w:t>High</w:t>
            </w:r>
          </w:p>
        </w:tc>
        <w:tc>
          <w:tcPr>
            <w:tcW w:type="dxa" w:w="2045"/>
            <w:vAlign w:val="center"/>
          </w:tcPr>
          <w:p>
            <w:r/>
            <w:r>
              <w:rPr>
                <w:b w:val="0"/>
                <w:sz w:val="18"/>
              </w:rPr>
              <w:t>Selected</w:t>
            </w:r>
          </w:p>
        </w:tc>
      </w:tr>
      <w:tr>
        <w:tc>
          <w:tcPr>
            <w:tcW w:type="dxa" w:w="2045"/>
            <w:vAlign w:val="center"/>
          </w:tcPr>
          <w:p>
            <w:r/>
            <w:r>
              <w:rPr>
                <w:b w:val="0"/>
                <w:sz w:val="18"/>
              </w:rPr>
              <w:t>3</w:t>
            </w:r>
          </w:p>
        </w:tc>
        <w:tc>
          <w:tcPr>
            <w:tcW w:type="dxa" w:w="2045"/>
            <w:vAlign w:val="center"/>
          </w:tcPr>
          <w:p>
            <w:r/>
            <w:r>
              <w:rPr>
                <w:b w:val="0"/>
                <w:sz w:val="18"/>
              </w:rPr>
              <w:t>onChange auto-set Urgency</w:t>
            </w:r>
          </w:p>
        </w:tc>
        <w:tc>
          <w:tcPr>
            <w:tcW w:type="dxa" w:w="2045"/>
            <w:vAlign w:val="center"/>
          </w:tcPr>
          <w:p>
            <w:r/>
            <w:r>
              <w:rPr>
                <w:b w:val="0"/>
                <w:sz w:val="18"/>
              </w:rPr>
              <w:t>High</w:t>
            </w:r>
          </w:p>
        </w:tc>
        <w:tc>
          <w:tcPr>
            <w:tcW w:type="dxa" w:w="2045"/>
            <w:vAlign w:val="center"/>
          </w:tcPr>
          <w:p>
            <w:r/>
            <w:r>
              <w:rPr>
                <w:b w:val="0"/>
                <w:sz w:val="18"/>
              </w:rPr>
              <w:t>High</w:t>
            </w:r>
          </w:p>
        </w:tc>
        <w:tc>
          <w:tcPr>
            <w:tcW w:type="dxa" w:w="2045"/>
            <w:vAlign w:val="center"/>
          </w:tcPr>
          <w:p>
            <w:r/>
            <w:r>
              <w:rPr>
                <w:b w:val="0"/>
                <w:sz w:val="18"/>
              </w:rPr>
              <w:t>Selected</w:t>
            </w:r>
          </w:p>
        </w:tc>
      </w:tr>
      <w:tr>
        <w:tc>
          <w:tcPr>
            <w:tcW w:type="dxa" w:w="2045"/>
            <w:vAlign w:val="center"/>
          </w:tcPr>
          <w:p>
            <w:r/>
            <w:r>
              <w:rPr>
                <w:b w:val="0"/>
                <w:sz w:val="18"/>
              </w:rPr>
              <w:t>4</w:t>
            </w:r>
          </w:p>
        </w:tc>
        <w:tc>
          <w:tcPr>
            <w:tcW w:type="dxa" w:w="2045"/>
            <w:vAlign w:val="center"/>
          </w:tcPr>
          <w:p>
            <w:r/>
            <w:r>
              <w:rPr>
                <w:b w:val="0"/>
                <w:sz w:val="18"/>
              </w:rPr>
              <w:t>onCellEdit blocking State list edits</w:t>
            </w:r>
          </w:p>
        </w:tc>
        <w:tc>
          <w:tcPr>
            <w:tcW w:type="dxa" w:w="2045"/>
            <w:vAlign w:val="center"/>
          </w:tcPr>
          <w:p>
            <w:r/>
            <w:r>
              <w:rPr>
                <w:b w:val="0"/>
                <w:sz w:val="18"/>
              </w:rPr>
              <w:t>Medium–High</w:t>
            </w:r>
          </w:p>
        </w:tc>
        <w:tc>
          <w:tcPr>
            <w:tcW w:type="dxa" w:w="2045"/>
            <w:vAlign w:val="center"/>
          </w:tcPr>
          <w:p>
            <w:r/>
            <w:r>
              <w:rPr>
                <w:b w:val="0"/>
                <w:sz w:val="18"/>
              </w:rPr>
              <w:t>High</w:t>
            </w:r>
          </w:p>
        </w:tc>
        <w:tc>
          <w:tcPr>
            <w:tcW w:type="dxa" w:w="2045"/>
            <w:vAlign w:val="center"/>
          </w:tcPr>
          <w:p>
            <w:r/>
            <w:r>
              <w:rPr>
                <w:b w:val="0"/>
                <w:sz w:val="18"/>
              </w:rPr>
              <w:t>Selected</w:t>
            </w:r>
          </w:p>
        </w:tc>
      </w:tr>
      <w:tr>
        <w:tc>
          <w:tcPr>
            <w:tcW w:type="dxa" w:w="2045"/>
            <w:vAlign w:val="center"/>
          </w:tcPr>
          <w:p>
            <w:r/>
            <w:r>
              <w:rPr>
                <w:b w:val="0"/>
                <w:sz w:val="18"/>
              </w:rPr>
              <w:t>5</w:t>
            </w:r>
          </w:p>
        </w:tc>
        <w:tc>
          <w:tcPr>
            <w:tcW w:type="dxa" w:w="2045"/>
            <w:vAlign w:val="center"/>
          </w:tcPr>
          <w:p>
            <w:r/>
            <w:r>
              <w:rPr>
                <w:b w:val="0"/>
                <w:sz w:val="18"/>
              </w:rPr>
              <w:t>Additional conditional field visibility</w:t>
            </w:r>
          </w:p>
        </w:tc>
        <w:tc>
          <w:tcPr>
            <w:tcW w:type="dxa" w:w="2045"/>
            <w:vAlign w:val="center"/>
          </w:tcPr>
          <w:p>
            <w:r/>
            <w:r>
              <w:rPr>
                <w:b w:val="0"/>
                <w:sz w:val="18"/>
              </w:rPr>
              <w:t>Medium</w:t>
            </w:r>
          </w:p>
        </w:tc>
        <w:tc>
          <w:tcPr>
            <w:tcW w:type="dxa" w:w="2045"/>
            <w:vAlign w:val="center"/>
          </w:tcPr>
          <w:p>
            <w:r/>
            <w:r>
              <w:rPr>
                <w:b w:val="0"/>
                <w:sz w:val="18"/>
              </w:rPr>
              <w:t>Medium</w:t>
            </w:r>
          </w:p>
        </w:tc>
        <w:tc>
          <w:tcPr>
            <w:tcW w:type="dxa" w:w="2045"/>
            <w:vAlign w:val="center"/>
          </w:tcPr>
          <w:p>
            <w:r/>
            <w:r>
              <w:rPr>
                <w:b w:val="0"/>
                <w:sz w:val="18"/>
              </w:rPr>
              <w:t>Future Enhancement</w:t>
            </w:r>
          </w:p>
        </w:tc>
      </w:tr>
    </w:tbl>
    <w:p>
      <w:r>
        <w:t>Final prioritized concept: combine UI Policies and Client Scripts to enforce Incident business rules, automate appropriate field behavior, and prevent invalid or unauthorized changes.</w:t>
      </w:r>
    </w:p>
    <w:p>
      <w:pPr>
        <w:jc w:val="center"/>
      </w:pPr>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pdf_page_9.png"/>
                    <pic:cNvPicPr/>
                  </pic:nvPicPr>
                  <pic:blipFill>
                    <a:blip r:embed="rId11"/>
                    <a:stretch>
                      <a:fillRect/>
                    </a:stretch>
                  </pic:blipFill>
                  <pic:spPr>
                    <a:xfrm>
                      <a:off x="0" y="0"/>
                      <a:ext cx="5303520" cy="6863379"/>
                    </a:xfrm>
                    <a:prstGeom prst="rect"/>
                  </pic:spPr>
                </pic:pic>
              </a:graphicData>
            </a:graphic>
          </wp:inline>
        </w:drawing>
      </w:r>
    </w:p>
    <w:p>
      <w:pPr>
        <w:jc w:val="center"/>
      </w:pPr>
      <w:r>
        <w:rPr>
          <w:i/>
          <w:sz w:val="18"/>
        </w:rPr>
        <w:t>Figure 3. Save-validation Client Script shown in the uploaded project PDF.</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